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宋体" w:hAnsi="宋体"/>
          <w:b/>
          <w:bCs/>
          <w:color w:val="000000"/>
          <w:sz w:val="52"/>
          <w:szCs w:val="52"/>
        </w:rPr>
      </w:pPr>
    </w:p>
    <w:p>
      <w:pPr>
        <w:jc w:val="center"/>
        <w:outlineLvl w:val="0"/>
        <w:rPr>
          <w:rFonts w:hint="eastAsia" w:ascii="宋体" w:hAnsi="宋体"/>
          <w:b/>
          <w:bCs/>
          <w:color w:val="000000"/>
          <w:sz w:val="52"/>
          <w:szCs w:val="52"/>
        </w:rPr>
      </w:pPr>
    </w:p>
    <w:p>
      <w:pPr>
        <w:jc w:val="center"/>
        <w:outlineLvl w:val="0"/>
        <w:rPr>
          <w:rFonts w:hint="eastAsia" w:ascii="宋体" w:hAnsi="宋体"/>
          <w:b/>
          <w:bCs/>
          <w:color w:val="000000"/>
          <w:sz w:val="44"/>
          <w:szCs w:val="44"/>
        </w:rPr>
      </w:pPr>
      <w:r>
        <w:rPr>
          <w:rFonts w:hint="eastAsia" w:ascii="宋体" w:hAnsi="宋体"/>
          <w:b/>
          <w:bCs/>
          <w:color w:val="000000"/>
          <w:sz w:val="52"/>
          <w:szCs w:val="52"/>
        </w:rPr>
        <w:t>杭州奥拓机电股份有限公司</w:t>
      </w:r>
    </w:p>
    <w:p>
      <w:pPr>
        <w:jc w:val="center"/>
        <w:textAlignment w:val="auto"/>
        <w:rPr>
          <w:rFonts w:hint="eastAsia" w:ascii="楷体" w:hAnsi="楷体" w:eastAsia="楷体"/>
          <w:b/>
          <w:snapToGrid/>
          <w:spacing w:val="0"/>
          <w:kern w:val="2"/>
          <w:sz w:val="36"/>
          <w:szCs w:val="20"/>
        </w:rPr>
      </w:pPr>
      <w:r>
        <w:rPr>
          <w:rFonts w:hint="eastAsia" w:ascii="楷体" w:hAnsi="楷体" w:eastAsia="楷体" w:cs="Times New Roman"/>
          <w:b/>
          <w:snapToGrid/>
          <w:spacing w:val="0"/>
          <w:kern w:val="2"/>
          <w:sz w:val="44"/>
          <w:szCs w:val="44"/>
          <w:lang w:eastAsia="zh-CN"/>
        </w:rPr>
        <w:t>散装物料</w:t>
      </w:r>
      <w:r>
        <w:rPr>
          <w:rFonts w:hint="eastAsia" w:ascii="楷体" w:hAnsi="楷体" w:eastAsia="楷体" w:cs="Times New Roman"/>
          <w:b/>
          <w:snapToGrid/>
          <w:spacing w:val="0"/>
          <w:kern w:val="2"/>
          <w:sz w:val="44"/>
          <w:szCs w:val="44"/>
        </w:rPr>
        <w:t>中</w:t>
      </w:r>
      <w:r>
        <w:rPr>
          <w:rFonts w:hint="eastAsia" w:ascii="楷体" w:hAnsi="楷体" w:eastAsia="楷体"/>
          <w:b/>
          <w:snapToGrid/>
          <w:spacing w:val="0"/>
          <w:kern w:val="2"/>
          <w:sz w:val="44"/>
          <w:szCs w:val="44"/>
        </w:rPr>
        <w:t>转系统项目</w:t>
      </w:r>
    </w:p>
    <w:p>
      <w:pPr>
        <w:textAlignment w:val="auto"/>
        <w:rPr>
          <w:rFonts w:hint="eastAsia" w:eastAsia="仿宋_GB2312"/>
          <w:snapToGrid/>
          <w:spacing w:val="0"/>
          <w:kern w:val="2"/>
          <w:sz w:val="24"/>
          <w:szCs w:val="20"/>
        </w:rPr>
      </w:pPr>
    </w:p>
    <w:p>
      <w:pPr>
        <w:textAlignment w:val="auto"/>
        <w:rPr>
          <w:rFonts w:hint="eastAsia" w:eastAsia="仿宋_GB2312"/>
          <w:snapToGrid/>
          <w:spacing w:val="0"/>
          <w:kern w:val="2"/>
          <w:sz w:val="24"/>
          <w:szCs w:val="20"/>
        </w:rPr>
      </w:pPr>
    </w:p>
    <w:p>
      <w:pPr>
        <w:textAlignment w:val="auto"/>
        <w:rPr>
          <w:rFonts w:hint="eastAsia" w:eastAsia="仿宋_GB2312"/>
          <w:snapToGrid/>
          <w:spacing w:val="0"/>
          <w:kern w:val="2"/>
          <w:sz w:val="24"/>
          <w:szCs w:val="20"/>
        </w:rPr>
      </w:pPr>
    </w:p>
    <w:p>
      <w:pPr>
        <w:textAlignment w:val="auto"/>
        <w:rPr>
          <w:rFonts w:hint="eastAsia" w:eastAsia="仿宋_GB2312"/>
          <w:snapToGrid/>
          <w:spacing w:val="0"/>
          <w:kern w:val="2"/>
          <w:sz w:val="24"/>
          <w:szCs w:val="20"/>
        </w:rPr>
      </w:pPr>
    </w:p>
    <w:p>
      <w:pPr>
        <w:textAlignment w:val="auto"/>
        <w:rPr>
          <w:rFonts w:hint="eastAsia" w:eastAsia="仿宋_GB2312"/>
          <w:b/>
          <w:snapToGrid/>
          <w:spacing w:val="0"/>
          <w:kern w:val="2"/>
          <w:sz w:val="32"/>
          <w:szCs w:val="20"/>
        </w:rPr>
      </w:pPr>
    </w:p>
    <w:p>
      <w:pPr>
        <w:jc w:val="center"/>
        <w:textAlignment w:val="auto"/>
        <w:rPr>
          <w:rFonts w:hint="eastAsia" w:ascii="隶书" w:eastAsia="隶书"/>
          <w:bCs/>
          <w:snapToGrid/>
          <w:spacing w:val="0"/>
          <w:kern w:val="2"/>
          <w:sz w:val="84"/>
          <w:szCs w:val="20"/>
        </w:rPr>
      </w:pPr>
      <w:r>
        <w:rPr>
          <w:rFonts w:hint="eastAsia" w:ascii="隶书" w:eastAsia="隶书"/>
          <w:bCs/>
          <w:snapToGrid/>
          <w:spacing w:val="0"/>
          <w:kern w:val="2"/>
          <w:sz w:val="84"/>
          <w:szCs w:val="20"/>
          <w:lang w:val="en-US" w:eastAsia="zh-CN"/>
        </w:rPr>
        <w:t>技术</w:t>
      </w:r>
      <w:r>
        <w:rPr>
          <w:rFonts w:hint="eastAsia" w:ascii="隶书" w:eastAsia="隶书"/>
          <w:bCs/>
          <w:snapToGrid/>
          <w:spacing w:val="0"/>
          <w:kern w:val="2"/>
          <w:sz w:val="84"/>
          <w:szCs w:val="20"/>
        </w:rPr>
        <w:t>招标文件</w:t>
      </w:r>
      <w:bookmarkStart w:id="0" w:name="_Toc114244742"/>
    </w:p>
    <w:p>
      <w:pPr>
        <w:jc w:val="center"/>
        <w:textAlignment w:val="auto"/>
        <w:rPr>
          <w:rFonts w:hint="eastAsia" w:ascii="隶书" w:eastAsia="隶书"/>
          <w:bCs/>
          <w:snapToGrid/>
          <w:spacing w:val="0"/>
          <w:kern w:val="2"/>
          <w:sz w:val="84"/>
          <w:szCs w:val="20"/>
          <w:lang w:eastAsia="zh-CN"/>
        </w:rPr>
      </w:pPr>
      <w:r>
        <w:rPr>
          <w:rFonts w:hint="eastAsia" w:ascii="隶书" w:eastAsia="隶书"/>
          <w:bCs/>
          <w:snapToGrid/>
          <w:spacing w:val="0"/>
          <w:kern w:val="2"/>
          <w:sz w:val="84"/>
          <w:szCs w:val="20"/>
          <w:lang w:eastAsia="zh-CN"/>
        </w:rPr>
        <w:drawing>
          <wp:inline distT="0" distB="0" distL="114300" distR="114300">
            <wp:extent cx="2953385" cy="469265"/>
            <wp:effectExtent l="0" t="0" r="0" b="635"/>
            <wp:docPr id="2" name="图片 2" descr="lQLPJxaar-1rJMzMms0DybBkYIMMIQwV2wL-gX6AAIcA_969_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QLPJxaar-1rJMzMms0DybBkYIMMIQwV2wL-gX6AAIcA_969_154"/>
                    <pic:cNvPicPr>
                      <a:picLocks noChangeAspect="1"/>
                    </pic:cNvPicPr>
                  </pic:nvPicPr>
                  <pic:blipFill>
                    <a:blip r:embed="rId13"/>
                    <a:stretch>
                      <a:fillRect/>
                    </a:stretch>
                  </pic:blipFill>
                  <pic:spPr>
                    <a:xfrm>
                      <a:off x="0" y="0"/>
                      <a:ext cx="2953385" cy="469265"/>
                    </a:xfrm>
                    <a:prstGeom prst="rect">
                      <a:avLst/>
                    </a:prstGeom>
                  </pic:spPr>
                </pic:pic>
              </a:graphicData>
            </a:graphic>
          </wp:inline>
        </w:drawing>
      </w:r>
    </w:p>
    <w:bookmarkEnd w:id="0"/>
    <w:p>
      <w:pPr>
        <w:textAlignment w:val="auto"/>
        <w:rPr>
          <w:rFonts w:hint="eastAsia" w:ascii="楷体" w:hAnsi="楷体" w:eastAsia="楷体"/>
          <w:snapToGrid/>
          <w:spacing w:val="0"/>
          <w:kern w:val="2"/>
          <w:sz w:val="36"/>
          <w:szCs w:val="20"/>
        </w:rPr>
      </w:pPr>
    </w:p>
    <w:p>
      <w:pPr>
        <w:textAlignment w:val="auto"/>
        <w:rPr>
          <w:rFonts w:hint="eastAsia" w:ascii="楷体" w:hAnsi="楷体" w:eastAsia="楷体"/>
          <w:snapToGrid/>
          <w:spacing w:val="0"/>
          <w:kern w:val="2"/>
          <w:sz w:val="36"/>
          <w:szCs w:val="20"/>
        </w:rPr>
      </w:pPr>
    </w:p>
    <w:p>
      <w:pPr>
        <w:textAlignment w:val="auto"/>
        <w:rPr>
          <w:rFonts w:ascii="楷体" w:hAnsi="楷体" w:eastAsia="楷体"/>
          <w:snapToGrid/>
          <w:spacing w:val="0"/>
          <w:kern w:val="2"/>
          <w:sz w:val="36"/>
          <w:szCs w:val="20"/>
        </w:rPr>
      </w:pPr>
    </w:p>
    <w:p>
      <w:pPr>
        <w:textAlignment w:val="auto"/>
        <w:rPr>
          <w:rFonts w:hint="eastAsia" w:ascii="楷体" w:hAnsi="楷体" w:eastAsia="楷体"/>
          <w:snapToGrid/>
          <w:spacing w:val="0"/>
          <w:kern w:val="2"/>
          <w:sz w:val="32"/>
          <w:szCs w:val="32"/>
          <w:lang w:val="en-US" w:eastAsia="zh-CN"/>
        </w:rPr>
      </w:pPr>
      <w:r>
        <w:rPr>
          <w:rFonts w:hint="eastAsia" w:ascii="楷体" w:hAnsi="楷体" w:eastAsia="楷体"/>
          <w:snapToGrid/>
          <w:spacing w:val="0"/>
          <w:kern w:val="2"/>
          <w:sz w:val="32"/>
          <w:szCs w:val="32"/>
        </w:rPr>
        <w:t>招标编号：</w:t>
      </w:r>
      <w:r>
        <w:rPr>
          <w:rFonts w:hint="eastAsia" w:ascii="楷体" w:hAnsi="楷体" w:eastAsia="楷体"/>
          <w:snapToGrid/>
          <w:spacing w:val="0"/>
          <w:kern w:val="2"/>
          <w:sz w:val="32"/>
          <w:szCs w:val="32"/>
          <w:lang w:val="en-US" w:eastAsia="zh-CN"/>
        </w:rPr>
        <w:t>ATJD-CGZB-202204</w:t>
      </w:r>
    </w:p>
    <w:p>
      <w:pPr>
        <w:textAlignment w:val="auto"/>
        <w:rPr>
          <w:rFonts w:hint="eastAsia" w:ascii="楷体" w:hAnsi="楷体" w:eastAsia="楷体"/>
          <w:snapToGrid/>
          <w:spacing w:val="0"/>
          <w:kern w:val="2"/>
          <w:sz w:val="32"/>
          <w:szCs w:val="32"/>
          <w:lang w:val="en-US" w:eastAsia="zh-CN"/>
        </w:rPr>
      </w:pPr>
      <w:r>
        <w:rPr>
          <w:rFonts w:hint="eastAsia" w:ascii="楷体" w:hAnsi="楷体" w:eastAsia="楷体"/>
          <w:snapToGrid/>
          <w:spacing w:val="0"/>
          <w:kern w:val="2"/>
          <w:sz w:val="32"/>
          <w:szCs w:val="32"/>
          <w:lang w:val="en-US" w:eastAsia="zh-CN"/>
        </w:rPr>
        <w:t>招标内容</w:t>
      </w:r>
      <w:r>
        <w:rPr>
          <w:rFonts w:hint="eastAsia" w:ascii="楷体" w:hAnsi="楷体" w:eastAsia="楷体"/>
          <w:snapToGrid/>
          <w:spacing w:val="0"/>
          <w:kern w:val="2"/>
          <w:sz w:val="32"/>
          <w:szCs w:val="32"/>
        </w:rPr>
        <w:t>：</w:t>
      </w:r>
      <w:r>
        <w:rPr>
          <w:rFonts w:hint="eastAsia" w:ascii="楷体" w:hAnsi="楷体" w:eastAsia="楷体"/>
          <w:snapToGrid/>
          <w:spacing w:val="0"/>
          <w:kern w:val="2"/>
          <w:sz w:val="32"/>
          <w:szCs w:val="32"/>
          <w:lang w:val="en-US" w:eastAsia="zh-CN"/>
        </w:rPr>
        <w:t xml:space="preserve">皮带机                                      </w:t>
      </w:r>
    </w:p>
    <w:p>
      <w:pPr>
        <w:textAlignment w:val="auto"/>
        <w:rPr>
          <w:rFonts w:hint="eastAsia" w:ascii="楷体" w:hAnsi="楷体" w:eastAsia="楷体"/>
          <w:snapToGrid/>
          <w:spacing w:val="0"/>
          <w:kern w:val="2"/>
          <w:sz w:val="32"/>
          <w:szCs w:val="32"/>
          <w:lang w:val="en-US" w:eastAsia="zh-CN"/>
        </w:rPr>
      </w:pPr>
      <w:r>
        <w:rPr>
          <w:rFonts w:hint="eastAsia" w:ascii="楷体" w:hAnsi="楷体" w:eastAsia="楷体"/>
          <w:snapToGrid/>
          <w:spacing w:val="0"/>
          <w:kern w:val="2"/>
          <w:sz w:val="32"/>
          <w:szCs w:val="32"/>
          <w:lang w:val="en-US" w:eastAsia="zh-CN"/>
        </w:rPr>
        <w:t>开标</w:t>
      </w:r>
      <w:r>
        <w:rPr>
          <w:rFonts w:hint="eastAsia" w:ascii="楷体" w:hAnsi="楷体" w:eastAsia="楷体"/>
          <w:snapToGrid/>
          <w:spacing w:val="0"/>
          <w:kern w:val="2"/>
          <w:sz w:val="32"/>
          <w:szCs w:val="32"/>
        </w:rPr>
        <w:t>时间：</w:t>
      </w:r>
      <w:r>
        <w:rPr>
          <w:rFonts w:hint="eastAsia" w:ascii="楷体" w:hAnsi="楷体" w:eastAsia="楷体"/>
          <w:snapToGrid/>
          <w:spacing w:val="0"/>
          <w:kern w:val="2"/>
          <w:sz w:val="32"/>
          <w:szCs w:val="32"/>
          <w:lang w:val="en-US" w:eastAsia="zh-CN"/>
        </w:rPr>
        <w:t>2022年9月1日</w:t>
      </w:r>
    </w:p>
    <w:p>
      <w:pPr>
        <w:textAlignment w:val="auto"/>
        <w:rPr>
          <w:rFonts w:hint="eastAsia" w:ascii="楷体" w:hAnsi="楷体" w:eastAsia="楷体"/>
          <w:snapToGrid/>
          <w:spacing w:val="0"/>
          <w:kern w:val="2"/>
          <w:sz w:val="32"/>
          <w:szCs w:val="32"/>
          <w:lang w:val="en-US" w:eastAsia="zh-CN"/>
        </w:rPr>
      </w:pPr>
    </w:p>
    <w:p>
      <w:pPr>
        <w:jc w:val="center"/>
        <w:rPr>
          <w:rFonts w:hint="eastAsia" w:ascii="宋体" w:hAnsi="宋体" w:eastAsia="宋体"/>
          <w:b/>
          <w:sz w:val="36"/>
        </w:rPr>
      </w:pPr>
      <w:r>
        <w:rPr>
          <w:rFonts w:hint="eastAsia" w:ascii="宋体" w:hAnsi="宋体" w:eastAsia="宋体"/>
          <w:b/>
          <w:sz w:val="36"/>
        </w:rPr>
        <w:t>目   录</w:t>
      </w:r>
    </w:p>
    <w:p>
      <w:pPr>
        <w:pStyle w:val="33"/>
        <w:tabs>
          <w:tab w:val="left" w:pos="420"/>
          <w:tab w:val="right" w:leader="dot" w:pos="8891"/>
        </w:tabs>
        <w:rPr>
          <w:rFonts w:ascii="Calibri" w:hAnsi="Calibri" w:eastAsia="宋体"/>
          <w:caps w:val="0"/>
          <w:sz w:val="21"/>
          <w:szCs w:val="22"/>
        </w:rPr>
      </w:pPr>
      <w:r>
        <w:rPr>
          <w:rFonts w:ascii="宋体" w:hAnsi="宋体" w:eastAsia="宋体"/>
          <w:b/>
          <w:caps w:val="0"/>
          <w:sz w:val="36"/>
        </w:rPr>
        <w:fldChar w:fldCharType="begin"/>
      </w:r>
      <w:r>
        <w:rPr>
          <w:rFonts w:ascii="宋体" w:hAnsi="宋体" w:eastAsia="宋体"/>
          <w:b/>
          <w:caps w:val="0"/>
          <w:sz w:val="36"/>
        </w:rPr>
        <w:instrText xml:space="preserve"> TOC </w:instrText>
      </w:r>
      <w:r>
        <w:rPr>
          <w:rFonts w:hint="eastAsia" w:ascii="宋体" w:hAnsi="宋体" w:eastAsia="宋体"/>
          <w:b/>
          <w:caps w:val="0"/>
          <w:sz w:val="36"/>
        </w:rPr>
        <w:instrText xml:space="preserve">\o "2-2" \h \z \t "标题 1,1,标题,1"</w:instrText>
      </w:r>
      <w:r>
        <w:rPr>
          <w:rFonts w:ascii="宋体" w:hAnsi="宋体" w:eastAsia="宋体"/>
          <w:b/>
          <w:caps w:val="0"/>
          <w:sz w:val="36"/>
        </w:rPr>
        <w:instrText xml:space="preserve"> </w:instrText>
      </w:r>
      <w:r>
        <w:rPr>
          <w:rFonts w:ascii="宋体" w:hAnsi="宋体" w:eastAsia="宋体"/>
          <w:b/>
          <w:caps w:val="0"/>
          <w:sz w:val="36"/>
        </w:rPr>
        <w:fldChar w:fldCharType="separate"/>
      </w:r>
      <w:r>
        <w:rPr>
          <w:color w:val="auto"/>
        </w:rPr>
        <w:fldChar w:fldCharType="begin"/>
      </w:r>
      <w:r>
        <w:rPr>
          <w:rStyle w:val="60"/>
          <w:color w:val="auto"/>
        </w:rPr>
        <w:instrText xml:space="preserve"> </w:instrText>
      </w:r>
      <w:r>
        <w:instrText xml:space="preserve">HYPERLINK \l "_Toc46774763"</w:instrText>
      </w:r>
      <w:r>
        <w:rPr>
          <w:rStyle w:val="60"/>
          <w:color w:val="auto"/>
        </w:rPr>
        <w:instrText xml:space="preserve"> </w:instrText>
      </w:r>
      <w:r>
        <w:rPr>
          <w:color w:val="auto"/>
        </w:rPr>
        <w:fldChar w:fldCharType="separate"/>
      </w:r>
      <w:r>
        <w:rPr>
          <w:rStyle w:val="60"/>
          <w:rFonts w:ascii="宋体" w:hAnsi="宋体" w:eastAsia="宋体"/>
          <w:color w:val="auto"/>
        </w:rPr>
        <w:t>1</w:t>
      </w:r>
      <w:r>
        <w:rPr>
          <w:rFonts w:ascii="Calibri" w:hAnsi="Calibri" w:eastAsia="宋体"/>
          <w:caps w:val="0"/>
          <w:sz w:val="21"/>
          <w:szCs w:val="22"/>
        </w:rPr>
        <w:tab/>
      </w:r>
      <w:r>
        <w:rPr>
          <w:rStyle w:val="60"/>
          <w:rFonts w:hint="eastAsia" w:ascii="宋体" w:hAnsi="宋体" w:eastAsia="宋体"/>
          <w:color w:val="auto"/>
        </w:rPr>
        <w:t>卖方供货说明</w:t>
      </w:r>
      <w:r>
        <w:tab/>
      </w:r>
      <w:r>
        <w:fldChar w:fldCharType="begin"/>
      </w:r>
      <w:r>
        <w:instrText xml:space="preserve"> PAGEREF _Toc46774763 \h </w:instrText>
      </w:r>
      <w:r>
        <w:fldChar w:fldCharType="separate"/>
      </w:r>
      <w:r>
        <w:t>1</w:t>
      </w:r>
      <w:r>
        <w:fldChar w:fldCharType="end"/>
      </w:r>
      <w:r>
        <w:rPr>
          <w:color w:val="auto"/>
        </w:rPr>
        <w:fldChar w:fldCharType="end"/>
      </w:r>
    </w:p>
    <w:p>
      <w:pPr>
        <w:pStyle w:val="33"/>
        <w:tabs>
          <w:tab w:val="left" w:pos="420"/>
          <w:tab w:val="right" w:leader="dot" w:pos="8891"/>
        </w:tabs>
        <w:rPr>
          <w:rFonts w:ascii="Calibri" w:hAnsi="Calibri" w:eastAsia="宋体"/>
          <w:caps w:val="0"/>
          <w:sz w:val="21"/>
          <w:szCs w:val="22"/>
        </w:rPr>
      </w:pPr>
      <w:r>
        <w:rPr>
          <w:color w:val="auto"/>
        </w:rPr>
        <w:fldChar w:fldCharType="begin"/>
      </w:r>
      <w:r>
        <w:rPr>
          <w:rStyle w:val="60"/>
          <w:color w:val="auto"/>
        </w:rPr>
        <w:instrText xml:space="preserve"> </w:instrText>
      </w:r>
      <w:r>
        <w:instrText xml:space="preserve">HYPERLINK \l "_Toc46774764"</w:instrText>
      </w:r>
      <w:r>
        <w:rPr>
          <w:rStyle w:val="60"/>
          <w:color w:val="auto"/>
        </w:rPr>
        <w:instrText xml:space="preserve"> </w:instrText>
      </w:r>
      <w:r>
        <w:rPr>
          <w:color w:val="auto"/>
        </w:rPr>
        <w:fldChar w:fldCharType="separate"/>
      </w:r>
      <w:r>
        <w:rPr>
          <w:rStyle w:val="60"/>
          <w:rFonts w:ascii="宋体" w:hAnsi="宋体" w:eastAsia="宋体"/>
          <w:color w:val="auto"/>
        </w:rPr>
        <w:t>2</w:t>
      </w:r>
      <w:r>
        <w:rPr>
          <w:rFonts w:ascii="Calibri" w:hAnsi="Calibri" w:eastAsia="宋体"/>
          <w:caps w:val="0"/>
          <w:sz w:val="21"/>
          <w:szCs w:val="22"/>
        </w:rPr>
        <w:tab/>
      </w:r>
      <w:r>
        <w:rPr>
          <w:rStyle w:val="60"/>
          <w:rFonts w:hint="eastAsia" w:ascii="宋体" w:hAnsi="宋体" w:eastAsia="宋体"/>
          <w:color w:val="auto"/>
        </w:rPr>
        <w:t>买方使用条件和技术要求</w:t>
      </w:r>
      <w:r>
        <w:tab/>
      </w:r>
      <w:r>
        <w:fldChar w:fldCharType="begin"/>
      </w:r>
      <w:r>
        <w:instrText xml:space="preserve"> PAGEREF _Toc46774764 \h </w:instrText>
      </w:r>
      <w:r>
        <w:fldChar w:fldCharType="separate"/>
      </w:r>
      <w:r>
        <w:t>2</w:t>
      </w:r>
      <w:r>
        <w:fldChar w:fldCharType="end"/>
      </w:r>
      <w:r>
        <w:rPr>
          <w:color w:val="auto"/>
        </w:rPr>
        <w:fldChar w:fldCharType="end"/>
      </w:r>
    </w:p>
    <w:p>
      <w:pPr>
        <w:pStyle w:val="41"/>
        <w:tabs>
          <w:tab w:val="right" w:leader="dot" w:pos="8891"/>
        </w:tabs>
        <w:rPr>
          <w:rFonts w:ascii="Calibri" w:hAnsi="Calibri" w:eastAsia="宋体"/>
          <w:sz w:val="21"/>
          <w:szCs w:val="22"/>
        </w:rPr>
      </w:pPr>
      <w:r>
        <w:rPr>
          <w:color w:val="auto"/>
        </w:rPr>
        <w:fldChar w:fldCharType="begin"/>
      </w:r>
      <w:r>
        <w:rPr>
          <w:rStyle w:val="60"/>
          <w:color w:val="auto"/>
        </w:rPr>
        <w:instrText xml:space="preserve"> </w:instrText>
      </w:r>
      <w:r>
        <w:instrText xml:space="preserve">HYPERLINK \l "_Toc46774765"</w:instrText>
      </w:r>
      <w:r>
        <w:rPr>
          <w:rStyle w:val="60"/>
          <w:color w:val="auto"/>
        </w:rPr>
        <w:instrText xml:space="preserve"> </w:instrText>
      </w:r>
      <w:r>
        <w:rPr>
          <w:color w:val="auto"/>
        </w:rPr>
        <w:fldChar w:fldCharType="separate"/>
      </w:r>
      <w:r>
        <w:rPr>
          <w:rStyle w:val="60"/>
          <w:rFonts w:ascii="宋体" w:hAnsi="宋体" w:eastAsia="宋体"/>
          <w:color w:val="auto"/>
        </w:rPr>
        <w:t xml:space="preserve">2.1 </w:t>
      </w:r>
      <w:r>
        <w:rPr>
          <w:rStyle w:val="60"/>
          <w:rFonts w:hint="eastAsia" w:ascii="宋体" w:hAnsi="宋体" w:eastAsia="宋体"/>
          <w:color w:val="auto"/>
        </w:rPr>
        <w:t>使用条件</w:t>
      </w:r>
      <w:r>
        <w:tab/>
      </w:r>
      <w:r>
        <w:fldChar w:fldCharType="begin"/>
      </w:r>
      <w:r>
        <w:instrText xml:space="preserve"> PAGEREF _Toc46774765 \h </w:instrText>
      </w:r>
      <w:r>
        <w:fldChar w:fldCharType="separate"/>
      </w:r>
      <w:r>
        <w:t>2</w:t>
      </w:r>
      <w:r>
        <w:fldChar w:fldCharType="end"/>
      </w:r>
      <w:r>
        <w:rPr>
          <w:color w:val="auto"/>
        </w:rPr>
        <w:fldChar w:fldCharType="end"/>
      </w:r>
    </w:p>
    <w:p>
      <w:pPr>
        <w:pStyle w:val="41"/>
        <w:tabs>
          <w:tab w:val="right" w:leader="dot" w:pos="8891"/>
        </w:tabs>
        <w:rPr>
          <w:rFonts w:ascii="Calibri" w:hAnsi="Calibri" w:eastAsia="宋体"/>
          <w:sz w:val="21"/>
          <w:szCs w:val="22"/>
        </w:rPr>
      </w:pPr>
      <w:r>
        <w:rPr>
          <w:color w:val="auto"/>
        </w:rPr>
        <w:fldChar w:fldCharType="begin"/>
      </w:r>
      <w:r>
        <w:rPr>
          <w:rStyle w:val="60"/>
          <w:color w:val="auto"/>
        </w:rPr>
        <w:instrText xml:space="preserve"> </w:instrText>
      </w:r>
      <w:r>
        <w:instrText xml:space="preserve">HYPERLINK \l "_Toc46774766"</w:instrText>
      </w:r>
      <w:r>
        <w:rPr>
          <w:rStyle w:val="60"/>
          <w:color w:val="auto"/>
        </w:rPr>
        <w:instrText xml:space="preserve"> </w:instrText>
      </w:r>
      <w:r>
        <w:rPr>
          <w:color w:val="auto"/>
        </w:rPr>
        <w:fldChar w:fldCharType="separate"/>
      </w:r>
      <w:r>
        <w:rPr>
          <w:rStyle w:val="60"/>
          <w:rFonts w:ascii="宋体" w:hAnsi="宋体" w:eastAsia="宋体"/>
          <w:color w:val="auto"/>
        </w:rPr>
        <w:t xml:space="preserve">2.2 </w:t>
      </w:r>
      <w:r>
        <w:rPr>
          <w:rStyle w:val="60"/>
          <w:rFonts w:hint="eastAsia" w:ascii="宋体" w:hAnsi="宋体" w:eastAsia="宋体"/>
          <w:color w:val="auto"/>
        </w:rPr>
        <w:t>电力状况</w:t>
      </w:r>
      <w:r>
        <w:tab/>
      </w:r>
      <w:r>
        <w:fldChar w:fldCharType="begin"/>
      </w:r>
      <w:r>
        <w:instrText xml:space="preserve"> PAGEREF _Toc46774766 \h </w:instrText>
      </w:r>
      <w:r>
        <w:fldChar w:fldCharType="separate"/>
      </w:r>
      <w:r>
        <w:t>2</w:t>
      </w:r>
      <w:r>
        <w:fldChar w:fldCharType="end"/>
      </w:r>
      <w:r>
        <w:rPr>
          <w:color w:val="auto"/>
        </w:rPr>
        <w:fldChar w:fldCharType="end"/>
      </w:r>
    </w:p>
    <w:p>
      <w:pPr>
        <w:pStyle w:val="41"/>
        <w:tabs>
          <w:tab w:val="right" w:leader="dot" w:pos="8891"/>
        </w:tabs>
        <w:rPr>
          <w:rFonts w:ascii="Calibri" w:hAnsi="Calibri" w:eastAsia="宋体"/>
          <w:sz w:val="21"/>
          <w:szCs w:val="22"/>
        </w:rPr>
      </w:pPr>
      <w:r>
        <w:rPr>
          <w:color w:val="auto"/>
        </w:rPr>
        <w:fldChar w:fldCharType="begin"/>
      </w:r>
      <w:r>
        <w:rPr>
          <w:rStyle w:val="60"/>
          <w:color w:val="auto"/>
        </w:rPr>
        <w:instrText xml:space="preserve"> </w:instrText>
      </w:r>
      <w:r>
        <w:instrText xml:space="preserve">HYPERLINK \l "_Toc46774767"</w:instrText>
      </w:r>
      <w:r>
        <w:rPr>
          <w:rStyle w:val="60"/>
          <w:color w:val="auto"/>
        </w:rPr>
        <w:instrText xml:space="preserve"> </w:instrText>
      </w:r>
      <w:r>
        <w:rPr>
          <w:color w:val="auto"/>
        </w:rPr>
        <w:fldChar w:fldCharType="separate"/>
      </w:r>
      <w:r>
        <w:rPr>
          <w:rStyle w:val="60"/>
          <w:rFonts w:ascii="宋体" w:hAnsi="宋体" w:eastAsia="宋体"/>
          <w:color w:val="auto"/>
        </w:rPr>
        <w:t>2.3</w:t>
      </w:r>
      <w:r>
        <w:rPr>
          <w:rStyle w:val="60"/>
          <w:rFonts w:hint="eastAsia" w:ascii="宋体" w:hAnsi="宋体" w:eastAsia="宋体"/>
          <w:color w:val="auto"/>
        </w:rPr>
        <w:t>卖方应提供的技术参数表（格式）</w:t>
      </w:r>
      <w:r>
        <w:tab/>
      </w:r>
      <w:r>
        <w:fldChar w:fldCharType="begin"/>
      </w:r>
      <w:r>
        <w:instrText xml:space="preserve"> PAGEREF _Toc46774767 \h </w:instrText>
      </w:r>
      <w:r>
        <w:fldChar w:fldCharType="separate"/>
      </w:r>
      <w:r>
        <w:t>2</w:t>
      </w:r>
      <w:r>
        <w:fldChar w:fldCharType="end"/>
      </w:r>
      <w:r>
        <w:rPr>
          <w:color w:val="auto"/>
        </w:rPr>
        <w:fldChar w:fldCharType="end"/>
      </w:r>
    </w:p>
    <w:p>
      <w:pPr>
        <w:pStyle w:val="33"/>
        <w:tabs>
          <w:tab w:val="left" w:pos="420"/>
          <w:tab w:val="right" w:leader="dot" w:pos="8891"/>
        </w:tabs>
        <w:rPr>
          <w:rFonts w:ascii="Calibri" w:hAnsi="Calibri" w:eastAsia="宋体"/>
          <w:caps w:val="0"/>
          <w:sz w:val="21"/>
          <w:szCs w:val="22"/>
        </w:rPr>
      </w:pPr>
      <w:r>
        <w:rPr>
          <w:color w:val="auto"/>
        </w:rPr>
        <w:fldChar w:fldCharType="begin"/>
      </w:r>
      <w:r>
        <w:rPr>
          <w:rStyle w:val="60"/>
          <w:color w:val="auto"/>
        </w:rPr>
        <w:instrText xml:space="preserve"> </w:instrText>
      </w:r>
      <w:r>
        <w:instrText xml:space="preserve">HYPERLINK \l "_Toc46774768"</w:instrText>
      </w:r>
      <w:r>
        <w:rPr>
          <w:rStyle w:val="60"/>
          <w:color w:val="auto"/>
        </w:rPr>
        <w:instrText xml:space="preserve"> </w:instrText>
      </w:r>
      <w:r>
        <w:rPr>
          <w:color w:val="auto"/>
        </w:rPr>
        <w:fldChar w:fldCharType="separate"/>
      </w:r>
      <w:r>
        <w:rPr>
          <w:rStyle w:val="60"/>
          <w:rFonts w:ascii="宋体" w:hAnsi="宋体" w:eastAsia="宋体" w:cs="Arial"/>
          <w:bCs/>
          <w:color w:val="auto"/>
          <w:spacing w:val="16"/>
          <w:kern w:val="18"/>
        </w:rPr>
        <w:t>3</w:t>
      </w:r>
      <w:r>
        <w:rPr>
          <w:rFonts w:ascii="Calibri" w:hAnsi="Calibri" w:eastAsia="宋体"/>
          <w:caps w:val="0"/>
          <w:sz w:val="21"/>
          <w:szCs w:val="22"/>
        </w:rPr>
        <w:tab/>
      </w:r>
      <w:r>
        <w:rPr>
          <w:rStyle w:val="60"/>
          <w:rFonts w:hint="eastAsia" w:ascii="宋体" w:hAnsi="宋体" w:eastAsia="宋体" w:cs="Arial"/>
          <w:bCs/>
          <w:color w:val="auto"/>
          <w:spacing w:val="16"/>
          <w:kern w:val="18"/>
        </w:rPr>
        <w:t>供货范围</w:t>
      </w:r>
      <w:r>
        <w:tab/>
      </w:r>
      <w:r>
        <w:fldChar w:fldCharType="begin"/>
      </w:r>
      <w:r>
        <w:instrText xml:space="preserve"> PAGEREF _Toc46774768 \h </w:instrText>
      </w:r>
      <w:r>
        <w:fldChar w:fldCharType="separate"/>
      </w:r>
      <w:r>
        <w:t>4</w:t>
      </w:r>
      <w:r>
        <w:fldChar w:fldCharType="end"/>
      </w:r>
      <w:r>
        <w:rPr>
          <w:color w:val="auto"/>
        </w:rPr>
        <w:fldChar w:fldCharType="end"/>
      </w:r>
    </w:p>
    <w:p>
      <w:pPr>
        <w:pStyle w:val="33"/>
        <w:tabs>
          <w:tab w:val="left" w:pos="420"/>
          <w:tab w:val="right" w:leader="dot" w:pos="8891"/>
        </w:tabs>
        <w:rPr>
          <w:rFonts w:ascii="Calibri" w:hAnsi="Calibri" w:eastAsia="宋体"/>
          <w:caps w:val="0"/>
          <w:sz w:val="21"/>
          <w:szCs w:val="22"/>
        </w:rPr>
      </w:pPr>
      <w:r>
        <w:rPr>
          <w:color w:val="auto"/>
        </w:rPr>
        <w:fldChar w:fldCharType="begin"/>
      </w:r>
      <w:r>
        <w:rPr>
          <w:rStyle w:val="60"/>
          <w:color w:val="auto"/>
        </w:rPr>
        <w:instrText xml:space="preserve"> </w:instrText>
      </w:r>
      <w:r>
        <w:instrText xml:space="preserve">HYPERLINK \l "_Toc46774769"</w:instrText>
      </w:r>
      <w:r>
        <w:rPr>
          <w:rStyle w:val="60"/>
          <w:color w:val="auto"/>
        </w:rPr>
        <w:instrText xml:space="preserve"> </w:instrText>
      </w:r>
      <w:r>
        <w:rPr>
          <w:color w:val="auto"/>
        </w:rPr>
        <w:fldChar w:fldCharType="separate"/>
      </w:r>
      <w:r>
        <w:rPr>
          <w:rStyle w:val="60"/>
          <w:rFonts w:ascii="宋体" w:hAnsi="宋体" w:eastAsia="宋体" w:cs="Arial"/>
          <w:bCs/>
          <w:color w:val="auto"/>
          <w:spacing w:val="16"/>
          <w:kern w:val="18"/>
        </w:rPr>
        <w:t>4</w:t>
      </w:r>
      <w:r>
        <w:rPr>
          <w:rFonts w:ascii="Calibri" w:hAnsi="Calibri" w:eastAsia="宋体"/>
          <w:caps w:val="0"/>
          <w:sz w:val="21"/>
          <w:szCs w:val="22"/>
        </w:rPr>
        <w:tab/>
      </w:r>
      <w:r>
        <w:rPr>
          <w:rStyle w:val="60"/>
          <w:rFonts w:hint="eastAsia" w:ascii="宋体" w:hAnsi="宋体" w:eastAsia="宋体" w:cs="Arial"/>
          <w:bCs/>
          <w:color w:val="auto"/>
          <w:spacing w:val="16"/>
          <w:kern w:val="18"/>
        </w:rPr>
        <w:t>技术规范</w:t>
      </w:r>
      <w:r>
        <w:tab/>
      </w:r>
      <w:r>
        <w:fldChar w:fldCharType="begin"/>
      </w:r>
      <w:r>
        <w:instrText xml:space="preserve"> PAGEREF _Toc46774769 \h </w:instrText>
      </w:r>
      <w:r>
        <w:fldChar w:fldCharType="separate"/>
      </w:r>
      <w:r>
        <w:t>5</w:t>
      </w:r>
      <w:r>
        <w:fldChar w:fldCharType="end"/>
      </w:r>
      <w:r>
        <w:rPr>
          <w:color w:val="auto"/>
        </w:rPr>
        <w:fldChar w:fldCharType="end"/>
      </w:r>
    </w:p>
    <w:p>
      <w:pPr>
        <w:pStyle w:val="33"/>
        <w:tabs>
          <w:tab w:val="left" w:pos="420"/>
          <w:tab w:val="right" w:leader="dot" w:pos="8891"/>
        </w:tabs>
        <w:rPr>
          <w:rFonts w:ascii="Calibri" w:hAnsi="Calibri" w:eastAsia="宋体"/>
          <w:caps w:val="0"/>
          <w:sz w:val="21"/>
          <w:szCs w:val="22"/>
        </w:rPr>
      </w:pPr>
      <w:r>
        <w:rPr>
          <w:color w:val="auto"/>
        </w:rPr>
        <w:fldChar w:fldCharType="begin"/>
      </w:r>
      <w:r>
        <w:rPr>
          <w:rStyle w:val="60"/>
          <w:color w:val="auto"/>
        </w:rPr>
        <w:instrText xml:space="preserve"> </w:instrText>
      </w:r>
      <w:r>
        <w:instrText xml:space="preserve">HYPERLINK \l "_Toc46774770"</w:instrText>
      </w:r>
      <w:r>
        <w:rPr>
          <w:rStyle w:val="60"/>
          <w:color w:val="auto"/>
        </w:rPr>
        <w:instrText xml:space="preserve"> </w:instrText>
      </w:r>
      <w:r>
        <w:rPr>
          <w:color w:val="auto"/>
        </w:rPr>
        <w:fldChar w:fldCharType="separate"/>
      </w:r>
      <w:r>
        <w:rPr>
          <w:rStyle w:val="60"/>
          <w:rFonts w:ascii="宋体" w:hAnsi="宋体" w:eastAsia="宋体" w:cs="Arial"/>
          <w:bCs/>
          <w:color w:val="auto"/>
          <w:spacing w:val="16"/>
          <w:kern w:val="18"/>
        </w:rPr>
        <w:t>5</w:t>
      </w:r>
      <w:r>
        <w:rPr>
          <w:rFonts w:ascii="Calibri" w:hAnsi="Calibri" w:eastAsia="宋体"/>
          <w:caps w:val="0"/>
          <w:sz w:val="21"/>
          <w:szCs w:val="22"/>
        </w:rPr>
        <w:tab/>
      </w:r>
      <w:r>
        <w:rPr>
          <w:color w:val="auto"/>
        </w:rPr>
        <w:fldChar w:fldCharType="end"/>
      </w:r>
      <w:r>
        <w:rPr>
          <w:color w:val="auto"/>
        </w:rPr>
        <w:fldChar w:fldCharType="begin"/>
      </w:r>
      <w:r>
        <w:rPr>
          <w:rStyle w:val="60"/>
          <w:color w:val="auto"/>
        </w:rPr>
        <w:instrText xml:space="preserve"> </w:instrText>
      </w:r>
      <w:r>
        <w:instrText xml:space="preserve">HYPERLINK \l "_Toc46774771"</w:instrText>
      </w:r>
      <w:r>
        <w:rPr>
          <w:rStyle w:val="60"/>
          <w:color w:val="auto"/>
        </w:rPr>
        <w:instrText xml:space="preserve"> </w:instrText>
      </w:r>
      <w:r>
        <w:rPr>
          <w:color w:val="auto"/>
        </w:rPr>
        <w:fldChar w:fldCharType="separate"/>
      </w:r>
      <w:r>
        <w:rPr>
          <w:rStyle w:val="60"/>
          <w:rFonts w:hint="eastAsia" w:ascii="宋体" w:hAnsi="宋体" w:eastAsia="宋体" w:cs="Arial"/>
          <w:bCs/>
          <w:color w:val="auto"/>
          <w:spacing w:val="16"/>
          <w:kern w:val="18"/>
        </w:rPr>
        <w:t>标志、包装、运输和贮存</w:t>
      </w:r>
      <w:r>
        <w:tab/>
      </w:r>
      <w:r>
        <w:fldChar w:fldCharType="begin"/>
      </w:r>
      <w:r>
        <w:instrText xml:space="preserve"> PAGEREF _Toc46774771 \h </w:instrText>
      </w:r>
      <w:r>
        <w:fldChar w:fldCharType="separate"/>
      </w:r>
      <w:r>
        <w:t>13</w:t>
      </w:r>
      <w:r>
        <w:fldChar w:fldCharType="end"/>
      </w:r>
      <w:r>
        <w:rPr>
          <w:color w:val="auto"/>
        </w:rPr>
        <w:fldChar w:fldCharType="end"/>
      </w:r>
    </w:p>
    <w:p>
      <w:pPr>
        <w:jc w:val="center"/>
        <w:rPr>
          <w:rFonts w:ascii="宋体" w:hAnsi="宋体" w:eastAsia="宋体"/>
          <w:b/>
          <w:sz w:val="36"/>
        </w:rPr>
      </w:pPr>
      <w:r>
        <w:rPr>
          <w:rFonts w:ascii="宋体" w:hAnsi="宋体" w:eastAsia="宋体"/>
          <w:b/>
          <w:caps/>
          <w:sz w:val="36"/>
        </w:rPr>
        <w:fldChar w:fldCharType="end"/>
      </w:r>
    </w:p>
    <w:p>
      <w:pPr>
        <w:rPr>
          <w:rFonts w:ascii="宋体" w:hAnsi="宋体" w:eastAsia="宋体"/>
          <w:sz w:val="36"/>
        </w:rPr>
      </w:pPr>
    </w:p>
    <w:p>
      <w:pPr>
        <w:tabs>
          <w:tab w:val="left" w:pos="5730"/>
        </w:tabs>
        <w:rPr>
          <w:rFonts w:ascii="宋体" w:hAnsi="宋体" w:eastAsia="宋体"/>
          <w:sz w:val="36"/>
        </w:rPr>
      </w:pPr>
      <w:r>
        <w:rPr>
          <w:rFonts w:ascii="宋体" w:hAnsi="宋体" w:eastAsia="宋体"/>
          <w:sz w:val="36"/>
        </w:rPr>
        <w:tab/>
      </w:r>
    </w:p>
    <w:p>
      <w:pPr>
        <w:rPr>
          <w:rFonts w:ascii="宋体" w:hAnsi="宋体" w:eastAsia="宋体"/>
          <w:sz w:val="36"/>
        </w:rPr>
      </w:pPr>
    </w:p>
    <w:p>
      <w:pPr>
        <w:rPr>
          <w:rFonts w:hint="eastAsia" w:ascii="宋体" w:hAnsi="宋体" w:eastAsia="宋体"/>
          <w:sz w:val="36"/>
        </w:rPr>
        <w:sectPr>
          <w:headerReference r:id="rId7" w:type="first"/>
          <w:footerReference r:id="rId10" w:type="first"/>
          <w:headerReference r:id="rId5" w:type="default"/>
          <w:footerReference r:id="rId8" w:type="default"/>
          <w:headerReference r:id="rId6" w:type="even"/>
          <w:footerReference r:id="rId9" w:type="even"/>
          <w:pgSz w:w="11907" w:h="16840"/>
          <w:pgMar w:top="1418" w:right="1418" w:bottom="1418" w:left="1418" w:header="851" w:footer="851" w:gutter="170"/>
          <w:pgNumType w:fmt="decimal" w:start="0"/>
          <w:cols w:space="720" w:num="1"/>
          <w:titlePg/>
          <w:docGrid w:type="lines" w:linePitch="380" w:charSpace="0"/>
        </w:sectPr>
      </w:pPr>
    </w:p>
    <w:p>
      <w:pPr>
        <w:pStyle w:val="2"/>
        <w:rPr>
          <w:rFonts w:hint="eastAsia" w:ascii="宋体" w:hAnsi="宋体" w:eastAsia="宋体"/>
        </w:rPr>
      </w:pPr>
      <w:bookmarkStart w:id="1" w:name="_Toc46774763"/>
      <w:r>
        <w:rPr>
          <w:rFonts w:hint="eastAsia" w:ascii="宋体" w:hAnsi="宋体" w:eastAsia="宋体"/>
        </w:rPr>
        <w:t>卖方供货说明</w:t>
      </w:r>
      <w:bookmarkEnd w:id="1"/>
    </w:p>
    <w:p>
      <w:pPr>
        <w:rPr>
          <w:rFonts w:hint="eastAsia" w:ascii="宋体" w:hAnsi="宋体" w:eastAsia="宋体" w:cs="Times New Roman"/>
        </w:rPr>
      </w:pPr>
      <w:r>
        <w:rPr>
          <w:rFonts w:hint="eastAsia" w:ascii="宋体" w:hAnsi="宋体" w:eastAsia="宋体" w:cs="Times New Roman"/>
        </w:rPr>
        <w:t>招标编号：</w:t>
      </w:r>
      <w:r>
        <w:rPr>
          <w:rFonts w:hint="eastAsia" w:ascii="宋体" w:hAnsi="宋体" w:eastAsia="宋体" w:cs="Times New Roman"/>
          <w:lang w:val="en-US" w:eastAsia="zh-CN"/>
        </w:rPr>
        <w:t>ATJD-CGZB-202204</w:t>
      </w:r>
    </w:p>
    <w:p>
      <w:pPr>
        <w:rPr>
          <w:rFonts w:hint="eastAsia" w:ascii="宋体" w:hAnsi="宋体" w:eastAsia="宋体" w:cs="Times New Roman"/>
        </w:rPr>
      </w:pPr>
      <w:r>
        <w:rPr>
          <w:rFonts w:hint="eastAsia" w:ascii="宋体" w:hAnsi="宋体" w:eastAsia="宋体" w:cs="Times New Roman"/>
        </w:rPr>
        <w:t>设备名称：皮带机</w:t>
      </w:r>
    </w:p>
    <w:p>
      <w:pPr>
        <w:rPr>
          <w:rFonts w:hint="eastAsia" w:ascii="宋体" w:hAnsi="宋体" w:eastAsia="宋体" w:cs="Times New Roman"/>
        </w:rPr>
      </w:pPr>
      <w:r>
        <w:rPr>
          <w:rFonts w:hint="eastAsia" w:ascii="宋体" w:hAnsi="宋体" w:eastAsia="宋体" w:cs="Times New Roman"/>
        </w:rPr>
        <w:t>用    途：</w:t>
      </w:r>
      <w:r>
        <w:rPr>
          <w:rFonts w:hint="eastAsia" w:ascii="宋体" w:hAnsi="宋体" w:eastAsia="宋体" w:cs="Times New Roman"/>
          <w:lang w:val="en-US" w:eastAsia="zh-CN"/>
        </w:rPr>
        <w:t>水泥粉料</w:t>
      </w:r>
      <w:r>
        <w:rPr>
          <w:rFonts w:hint="eastAsia" w:ascii="宋体" w:hAnsi="宋体" w:eastAsia="宋体" w:cs="Times New Roman"/>
        </w:rPr>
        <w:t>的输送。</w:t>
      </w:r>
    </w:p>
    <w:p>
      <w:pPr>
        <w:rPr>
          <w:rFonts w:hint="eastAsia" w:ascii="宋体" w:hAnsi="宋体" w:eastAsia="宋体" w:cs="Times New Roman"/>
          <w:lang w:val="en-US" w:eastAsia="zh-CN"/>
        </w:rPr>
      </w:pPr>
      <w:r>
        <w:rPr>
          <w:rFonts w:hint="eastAsia" w:ascii="宋体" w:hAnsi="宋体" w:eastAsia="宋体" w:cs="Times New Roman"/>
        </w:rPr>
        <w:t>交 货 期：</w:t>
      </w:r>
      <w:r>
        <w:rPr>
          <w:rFonts w:hint="eastAsia" w:ascii="宋体" w:hAnsi="宋体" w:eastAsia="宋体" w:cs="Times New Roman"/>
          <w:lang w:val="en-US" w:eastAsia="zh-CN"/>
        </w:rPr>
        <w:t>2023年6月30日</w:t>
      </w:r>
    </w:p>
    <w:p>
      <w:pPr>
        <w:rPr>
          <w:rFonts w:hint="default" w:ascii="宋体" w:hAnsi="宋体" w:eastAsia="宋体"/>
          <w:color w:val="auto"/>
          <w:highlight w:val="none"/>
          <w:lang w:val="en-US" w:eastAsia="zh-CN"/>
        </w:rPr>
      </w:pPr>
    </w:p>
    <w:p>
      <w:pPr>
        <w:rPr>
          <w:rFonts w:hint="eastAsia" w:ascii="宋体" w:hAnsi="宋体" w:eastAsia="宋体"/>
          <w:color w:val="auto"/>
          <w:highlight w:val="none"/>
        </w:rPr>
      </w:pPr>
      <w:r>
        <w:rPr>
          <w:rFonts w:hint="eastAsia" w:ascii="宋体" w:hAnsi="宋体" w:eastAsia="宋体"/>
          <w:color w:val="auto"/>
          <w:highlight w:val="none"/>
        </w:rPr>
        <w:t>货物需求一览表：</w:t>
      </w:r>
      <w:bookmarkStart w:id="2" w:name="_Toc82918346"/>
    </w:p>
    <w:p>
      <w:pPr>
        <w:rPr>
          <w:rFonts w:hint="eastAsia" w:ascii="宋体" w:hAnsi="宋体" w:eastAsia="宋体"/>
          <w:b/>
          <w:color w:val="auto"/>
          <w:highlight w:val="none"/>
        </w:rPr>
      </w:pPr>
      <w:r>
        <w:rPr>
          <w:rFonts w:hint="eastAsia" w:ascii="宋体" w:hAnsi="宋体" w:eastAsia="宋体"/>
          <w:b/>
          <w:color w:val="auto"/>
          <w:highlight w:val="none"/>
        </w:rPr>
        <w:t>见附件清单表</w:t>
      </w:r>
    </w:p>
    <w:tbl>
      <w:tblPr>
        <w:tblStyle w:val="53"/>
        <w:tblW w:w="9503"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65"/>
        <w:gridCol w:w="1701"/>
        <w:gridCol w:w="3119"/>
        <w:gridCol w:w="800"/>
        <w:gridCol w:w="800"/>
        <w:gridCol w:w="15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ascii="Arial Unicode MS" w:hAnsi="Arial Unicode MS" w:eastAsia="Arial Unicode MS" w:cs="Arial Unicode MS"/>
                <w:b/>
                <w:bCs/>
                <w:color w:val="auto"/>
                <w:kern w:val="0"/>
                <w:sz w:val="21"/>
                <w:szCs w:val="21"/>
                <w:highlight w:val="none"/>
              </w:rPr>
            </w:pPr>
            <w:r>
              <w:rPr>
                <w:rFonts w:hint="eastAsia" w:ascii="Arial Unicode MS" w:hAnsi="Arial Unicode MS" w:eastAsia="Arial Unicode MS" w:cs="Arial Unicode MS"/>
                <w:b/>
                <w:bCs/>
                <w:color w:val="auto"/>
                <w:kern w:val="0"/>
                <w:sz w:val="21"/>
                <w:szCs w:val="21"/>
                <w:highlight w:val="none"/>
              </w:rPr>
              <w:t>设备编号</w:t>
            </w:r>
          </w:p>
        </w:tc>
        <w:tc>
          <w:tcPr>
            <w:tcW w:w="1701" w:type="dxa"/>
            <w:noWrap/>
            <w:vAlign w:val="top"/>
          </w:tcPr>
          <w:p>
            <w:pPr>
              <w:widowControl/>
              <w:adjustRightInd/>
              <w:snapToGrid/>
              <w:spacing w:line="240" w:lineRule="auto"/>
              <w:rPr>
                <w:rFonts w:ascii="Arial Unicode MS" w:hAnsi="Arial Unicode MS" w:eastAsia="Arial Unicode MS" w:cs="Arial Unicode MS"/>
                <w:b/>
                <w:bCs/>
                <w:color w:val="auto"/>
                <w:kern w:val="0"/>
                <w:sz w:val="21"/>
                <w:szCs w:val="21"/>
                <w:highlight w:val="none"/>
              </w:rPr>
            </w:pPr>
            <w:r>
              <w:rPr>
                <w:rFonts w:hint="eastAsia" w:ascii="Arial Unicode MS" w:hAnsi="Arial Unicode MS" w:eastAsia="Arial Unicode MS" w:cs="Arial Unicode MS"/>
                <w:b/>
                <w:bCs/>
                <w:color w:val="auto"/>
                <w:kern w:val="0"/>
                <w:sz w:val="21"/>
                <w:szCs w:val="21"/>
                <w:highlight w:val="none"/>
              </w:rPr>
              <w:t>名   称</w:t>
            </w:r>
          </w:p>
        </w:tc>
        <w:tc>
          <w:tcPr>
            <w:tcW w:w="3119" w:type="dxa"/>
            <w:noWrap/>
            <w:vAlign w:val="top"/>
          </w:tcPr>
          <w:p>
            <w:pPr>
              <w:widowControl/>
              <w:adjustRightInd/>
              <w:snapToGrid/>
              <w:spacing w:line="240" w:lineRule="auto"/>
              <w:rPr>
                <w:rFonts w:ascii="Arial Unicode MS" w:hAnsi="Arial Unicode MS" w:eastAsia="Arial Unicode MS" w:cs="Arial Unicode MS"/>
                <w:b/>
                <w:bCs/>
                <w:color w:val="auto"/>
                <w:kern w:val="0"/>
                <w:sz w:val="21"/>
                <w:szCs w:val="21"/>
                <w:highlight w:val="none"/>
              </w:rPr>
            </w:pPr>
            <w:r>
              <w:rPr>
                <w:rFonts w:hint="eastAsia" w:ascii="Arial Unicode MS" w:hAnsi="Arial Unicode MS" w:eastAsia="Arial Unicode MS" w:cs="Arial Unicode MS"/>
                <w:b/>
                <w:bCs/>
                <w:color w:val="auto"/>
                <w:kern w:val="0"/>
                <w:sz w:val="21"/>
                <w:szCs w:val="21"/>
                <w:highlight w:val="none"/>
              </w:rPr>
              <w:t>型 号 及 规 格</w:t>
            </w:r>
          </w:p>
        </w:tc>
        <w:tc>
          <w:tcPr>
            <w:tcW w:w="800" w:type="dxa"/>
            <w:noWrap/>
            <w:vAlign w:val="top"/>
          </w:tcPr>
          <w:p>
            <w:pPr>
              <w:widowControl/>
              <w:adjustRightInd/>
              <w:snapToGrid/>
              <w:spacing w:line="240" w:lineRule="auto"/>
              <w:jc w:val="center"/>
              <w:rPr>
                <w:rFonts w:ascii="Arial Unicode MS" w:hAnsi="Arial Unicode MS" w:eastAsia="Arial Unicode MS" w:cs="Arial Unicode MS"/>
                <w:b/>
                <w:bCs/>
                <w:color w:val="auto"/>
                <w:kern w:val="0"/>
                <w:sz w:val="21"/>
                <w:szCs w:val="21"/>
                <w:highlight w:val="none"/>
              </w:rPr>
            </w:pPr>
            <w:r>
              <w:rPr>
                <w:rFonts w:hint="eastAsia" w:ascii="Arial Unicode MS" w:hAnsi="Arial Unicode MS" w:eastAsia="Arial Unicode MS" w:cs="Arial Unicode MS"/>
                <w:b/>
                <w:bCs/>
                <w:color w:val="auto"/>
                <w:kern w:val="0"/>
                <w:sz w:val="21"/>
                <w:szCs w:val="21"/>
                <w:highlight w:val="none"/>
              </w:rPr>
              <w:t>单位</w:t>
            </w:r>
          </w:p>
        </w:tc>
        <w:tc>
          <w:tcPr>
            <w:tcW w:w="800" w:type="dxa"/>
            <w:noWrap/>
            <w:vAlign w:val="top"/>
          </w:tcPr>
          <w:p>
            <w:pPr>
              <w:widowControl/>
              <w:adjustRightInd/>
              <w:snapToGrid/>
              <w:spacing w:line="240" w:lineRule="auto"/>
              <w:jc w:val="center"/>
              <w:rPr>
                <w:rFonts w:ascii="Arial Unicode MS" w:hAnsi="Arial Unicode MS" w:eastAsia="Arial Unicode MS" w:cs="Arial Unicode MS"/>
                <w:b/>
                <w:bCs/>
                <w:color w:val="auto"/>
                <w:kern w:val="0"/>
                <w:sz w:val="21"/>
                <w:szCs w:val="21"/>
                <w:highlight w:val="none"/>
              </w:rPr>
            </w:pPr>
            <w:r>
              <w:rPr>
                <w:rFonts w:hint="eastAsia" w:ascii="Arial Unicode MS" w:hAnsi="Arial Unicode MS" w:eastAsia="Arial Unicode MS" w:cs="Arial Unicode MS"/>
                <w:b/>
                <w:bCs/>
                <w:color w:val="auto"/>
                <w:kern w:val="0"/>
                <w:sz w:val="21"/>
                <w:szCs w:val="21"/>
                <w:highlight w:val="none"/>
              </w:rPr>
              <w:t>数量</w:t>
            </w:r>
          </w:p>
        </w:tc>
        <w:tc>
          <w:tcPr>
            <w:tcW w:w="1518" w:type="dxa"/>
            <w:noWrap/>
            <w:vAlign w:val="top"/>
          </w:tcPr>
          <w:p>
            <w:pPr>
              <w:widowControl/>
              <w:adjustRightInd/>
              <w:snapToGrid/>
              <w:spacing w:line="240" w:lineRule="auto"/>
              <w:rPr>
                <w:rFonts w:ascii="Arial Unicode MS" w:hAnsi="Arial Unicode MS" w:eastAsia="Arial Unicode MS" w:cs="Arial Unicode MS"/>
                <w:b/>
                <w:bCs/>
                <w:color w:val="auto"/>
                <w:kern w:val="0"/>
                <w:sz w:val="21"/>
                <w:szCs w:val="21"/>
                <w:highlight w:val="none"/>
              </w:rPr>
            </w:pPr>
            <w:r>
              <w:rPr>
                <w:rFonts w:hint="eastAsia" w:ascii="Arial Unicode MS" w:hAnsi="Arial Unicode MS" w:eastAsia="Arial Unicode MS" w:cs="Arial Unicode MS"/>
                <w:b/>
                <w:bCs/>
                <w:color w:val="auto"/>
                <w:kern w:val="0"/>
                <w:sz w:val="21"/>
                <w:szCs w:val="21"/>
                <w:highlight w:val="none"/>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default" w:ascii="Arial Unicode MS" w:hAnsi="Arial Unicode MS" w:eastAsia="Arial Unicode MS" w:cs="Arial Unicode MS"/>
                <w:b/>
                <w:bCs/>
                <w:color w:val="auto"/>
                <w:kern w:val="0"/>
                <w:sz w:val="21"/>
                <w:szCs w:val="21"/>
                <w:highlight w:val="none"/>
                <w:lang w:val="en-US" w:eastAsia="zh-CN"/>
              </w:rPr>
            </w:pPr>
            <w:r>
              <w:rPr>
                <w:rFonts w:hint="eastAsia" w:ascii="宋体" w:hAnsi="宋体" w:eastAsia="宋体" w:cs="宋体"/>
                <w:b w:val="0"/>
                <w:bCs w:val="0"/>
                <w:color w:val="000000"/>
                <w:kern w:val="0"/>
                <w:sz w:val="20"/>
                <w:szCs w:val="20"/>
                <w:highlight w:val="none"/>
                <w:lang w:val="en-US" w:eastAsia="zh-CN" w:bidi="ar"/>
              </w:rPr>
              <w:t>011BC02</w:t>
            </w: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000000"/>
                <w:kern w:val="0"/>
                <w:sz w:val="20"/>
                <w:szCs w:val="20"/>
                <w:highlight w:val="none"/>
                <w:lang w:val="en-US" w:eastAsia="zh-CN" w:bidi="ar"/>
              </w:rPr>
              <w:t>带式输送机</w:t>
            </w:r>
          </w:p>
        </w:tc>
        <w:tc>
          <w:tcPr>
            <w:tcW w:w="3119"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000000"/>
                <w:kern w:val="0"/>
                <w:sz w:val="20"/>
                <w:szCs w:val="20"/>
                <w:highlight w:val="none"/>
                <w:lang w:val="en-US" w:eastAsia="zh-CN" w:bidi="ar"/>
              </w:rPr>
              <w:t>DTⅡ（A）B1800×261.7m</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台</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1</w:t>
            </w: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室外型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color w:val="000000"/>
                <w:kern w:val="0"/>
                <w:sz w:val="20"/>
                <w:szCs w:val="20"/>
                <w:lang w:val="en-US" w:eastAsia="zh-CN" w:bidi="ar"/>
              </w:rPr>
              <w:t>输送物料：水泥、矿粉、粉煤灰</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color w:val="000000"/>
                <w:kern w:val="0"/>
                <w:sz w:val="20"/>
                <w:szCs w:val="20"/>
                <w:lang w:val="en-US" w:eastAsia="zh-CN" w:bidi="ar"/>
              </w:rPr>
              <w:t>输送量：1200t/h MAX:1400t/h（水泥）</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highlight w:val="none"/>
                <w:lang w:val="en-US" w:eastAsia="zh-CN" w:bidi="ar"/>
              </w:rPr>
              <w:t>带速=2.8m/s</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color w:val="000000"/>
                <w:kern w:val="0"/>
                <w:sz w:val="20"/>
                <w:szCs w:val="20"/>
                <w:lang w:val="en-US" w:eastAsia="zh-CN" w:bidi="ar"/>
              </w:rPr>
              <w:t>爬坡角度：0°</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爬坡高度：0m</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水平输送距离：261.7m</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减速机</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电动机</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液力耦合器</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联轴器</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胶带</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EP-200   B1800</w:t>
            </w: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垂直张紧装置</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B1800</w:t>
            </w: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default" w:ascii="Arial Unicode MS" w:hAnsi="Arial Unicode MS" w:eastAsia="Arial Unicode MS" w:cs="Arial Unicode MS"/>
                <w:b/>
                <w:bCs/>
                <w:color w:val="auto"/>
                <w:kern w:val="0"/>
                <w:sz w:val="21"/>
                <w:szCs w:val="21"/>
                <w:highlight w:val="none"/>
                <w:lang w:val="en-US" w:eastAsia="zh-CN"/>
              </w:rPr>
            </w:pPr>
            <w:r>
              <w:rPr>
                <w:rFonts w:hint="eastAsia" w:ascii="宋体" w:hAnsi="宋体" w:eastAsia="宋体" w:cs="宋体"/>
                <w:b w:val="0"/>
                <w:bCs w:val="0"/>
                <w:color w:val="000000"/>
                <w:kern w:val="0"/>
                <w:sz w:val="20"/>
                <w:szCs w:val="20"/>
                <w:highlight w:val="none"/>
                <w:lang w:val="en-US" w:eastAsia="zh-CN" w:bidi="ar"/>
              </w:rPr>
              <w:t>011BC03</w:t>
            </w: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000000"/>
                <w:kern w:val="0"/>
                <w:sz w:val="20"/>
                <w:szCs w:val="20"/>
                <w:highlight w:val="none"/>
                <w:lang w:val="en-US" w:eastAsia="zh-CN" w:bidi="ar"/>
              </w:rPr>
              <w:t>带式输送机</w:t>
            </w:r>
          </w:p>
        </w:tc>
        <w:tc>
          <w:tcPr>
            <w:tcW w:w="3119" w:type="dxa"/>
            <w:noWrap/>
            <w:vAlign w:val="top"/>
          </w:tcPr>
          <w:p>
            <w:pPr>
              <w:widowControl/>
              <w:adjustRightInd/>
              <w:snapToGrid/>
              <w:spacing w:line="240" w:lineRule="auto"/>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000000"/>
                <w:kern w:val="0"/>
                <w:sz w:val="20"/>
                <w:szCs w:val="20"/>
                <w:highlight w:val="none"/>
                <w:lang w:val="en-US" w:eastAsia="zh-CN" w:bidi="ar"/>
              </w:rPr>
              <w:t>DTⅡ（A）B1800×255.3m</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台</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1</w:t>
            </w: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室外型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color w:val="000000"/>
                <w:kern w:val="0"/>
                <w:sz w:val="20"/>
                <w:szCs w:val="20"/>
                <w:lang w:val="en-US" w:eastAsia="zh-CN" w:bidi="ar"/>
              </w:rPr>
              <w:t>输送物料：水泥、矿粉、粉煤灰</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color w:val="000000"/>
                <w:kern w:val="0"/>
                <w:sz w:val="20"/>
                <w:szCs w:val="20"/>
                <w:lang w:val="en-US" w:eastAsia="zh-CN" w:bidi="ar"/>
              </w:rPr>
              <w:t>输送量：1200t/h MAX:1400t/h（水泥）</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highlight w:val="none"/>
                <w:lang w:val="en-US" w:eastAsia="zh-CN" w:bidi="ar"/>
              </w:rPr>
              <w:t>带速=2.8m/s</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color w:val="000000"/>
                <w:kern w:val="0"/>
                <w:sz w:val="20"/>
                <w:szCs w:val="20"/>
                <w:lang w:val="en-US" w:eastAsia="zh-CN" w:bidi="ar"/>
              </w:rPr>
              <w:t>爬坡角度：0°</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爬坡高度：0m</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水平输送距离：255.3m</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减速机</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电动机</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液力耦合器</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联轴器</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胶带</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EP-200   B1800</w:t>
            </w: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垂直张紧装置</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B1800</w:t>
            </w: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default" w:ascii="Arial Unicode MS" w:hAnsi="Arial Unicode MS" w:eastAsia="Arial Unicode MS" w:cs="Arial Unicode MS"/>
                <w:b/>
                <w:bCs/>
                <w:color w:val="auto"/>
                <w:kern w:val="0"/>
                <w:sz w:val="21"/>
                <w:szCs w:val="21"/>
                <w:highlight w:val="none"/>
                <w:lang w:val="en-US" w:eastAsia="zh-CN"/>
              </w:rPr>
            </w:pPr>
            <w:r>
              <w:rPr>
                <w:rFonts w:hint="eastAsia" w:ascii="宋体" w:hAnsi="宋体" w:eastAsia="宋体" w:cs="宋体"/>
                <w:b w:val="0"/>
                <w:bCs w:val="0"/>
                <w:color w:val="000000"/>
                <w:kern w:val="0"/>
                <w:sz w:val="20"/>
                <w:szCs w:val="20"/>
                <w:highlight w:val="none"/>
                <w:lang w:val="en-US" w:eastAsia="zh-CN" w:bidi="ar"/>
              </w:rPr>
              <w:t>013BC01</w:t>
            </w: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000000"/>
                <w:kern w:val="0"/>
                <w:sz w:val="20"/>
                <w:szCs w:val="20"/>
                <w:highlight w:val="none"/>
                <w:lang w:val="en-US" w:eastAsia="zh-CN" w:bidi="ar"/>
              </w:rPr>
              <w:t>带式输送机</w:t>
            </w:r>
          </w:p>
        </w:tc>
        <w:tc>
          <w:tcPr>
            <w:tcW w:w="3119" w:type="dxa"/>
            <w:noWrap/>
            <w:vAlign w:val="top"/>
          </w:tcPr>
          <w:p>
            <w:pPr>
              <w:widowControl/>
              <w:adjustRightInd/>
              <w:snapToGrid/>
              <w:spacing w:line="240" w:lineRule="auto"/>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000000"/>
                <w:kern w:val="0"/>
                <w:sz w:val="20"/>
                <w:szCs w:val="20"/>
                <w:highlight w:val="none"/>
                <w:lang w:val="en-US" w:eastAsia="zh-CN" w:bidi="ar"/>
              </w:rPr>
              <w:t>DTⅡ（A）B1800×425m</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台</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1</w:t>
            </w: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室外型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color w:val="000000"/>
                <w:kern w:val="0"/>
                <w:sz w:val="20"/>
                <w:szCs w:val="20"/>
                <w:lang w:val="en-US" w:eastAsia="zh-CN" w:bidi="ar"/>
              </w:rPr>
              <w:t>输送物料：复配水泥</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color w:val="000000"/>
                <w:kern w:val="0"/>
                <w:sz w:val="20"/>
                <w:szCs w:val="20"/>
                <w:lang w:val="en-US" w:eastAsia="zh-CN" w:bidi="ar"/>
              </w:rPr>
              <w:t>输送量：1000t/h（水泥）</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highlight w:val="none"/>
                <w:lang w:val="en-US" w:eastAsia="zh-CN" w:bidi="ar"/>
              </w:rPr>
              <w:t>带速=2.5m/s</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color w:val="000000"/>
                <w:kern w:val="0"/>
                <w:sz w:val="20"/>
                <w:szCs w:val="20"/>
                <w:lang w:val="en-US" w:eastAsia="zh-CN" w:bidi="ar"/>
              </w:rPr>
              <w:t>爬坡角度：0°</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爬坡高度：0m</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水平输送距离：425m</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减速机</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电动机</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液力耦合器</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联轴器</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胶带</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EP-200   B1800</w:t>
            </w: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垂直张紧装置</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B1800</w:t>
            </w: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default" w:ascii="Arial Unicode MS" w:hAnsi="Arial Unicode MS" w:eastAsia="Arial Unicode MS" w:cs="Arial Unicode MS"/>
                <w:b/>
                <w:bCs/>
                <w:color w:val="auto"/>
                <w:kern w:val="0"/>
                <w:sz w:val="21"/>
                <w:szCs w:val="21"/>
                <w:highlight w:val="none"/>
                <w:lang w:val="en-US" w:eastAsia="zh-CN"/>
              </w:rPr>
            </w:pPr>
            <w:r>
              <w:rPr>
                <w:rFonts w:hint="eastAsia" w:ascii="宋体" w:hAnsi="宋体" w:eastAsia="宋体" w:cs="宋体"/>
                <w:b w:val="0"/>
                <w:bCs w:val="0"/>
                <w:color w:val="000000"/>
                <w:kern w:val="0"/>
                <w:sz w:val="20"/>
                <w:szCs w:val="20"/>
                <w:highlight w:val="none"/>
                <w:lang w:val="en-US" w:eastAsia="zh-CN" w:bidi="ar"/>
              </w:rPr>
              <w:t>013BC02</w:t>
            </w: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000000"/>
                <w:kern w:val="0"/>
                <w:sz w:val="20"/>
                <w:szCs w:val="20"/>
                <w:highlight w:val="none"/>
                <w:lang w:val="en-US" w:eastAsia="zh-CN" w:bidi="ar"/>
              </w:rPr>
              <w:t>带式输送机</w:t>
            </w:r>
          </w:p>
        </w:tc>
        <w:tc>
          <w:tcPr>
            <w:tcW w:w="3119" w:type="dxa"/>
            <w:noWrap/>
            <w:vAlign w:val="top"/>
          </w:tcPr>
          <w:p>
            <w:pPr>
              <w:widowControl/>
              <w:adjustRightInd/>
              <w:snapToGrid/>
              <w:spacing w:line="240" w:lineRule="auto"/>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000000"/>
                <w:kern w:val="0"/>
                <w:sz w:val="20"/>
                <w:szCs w:val="20"/>
                <w:highlight w:val="none"/>
                <w:lang w:val="en-US" w:eastAsia="zh-CN" w:bidi="ar"/>
              </w:rPr>
              <w:t>DTⅡ（A）B1800×263.5m</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台</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1</w:t>
            </w: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室外型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color w:val="000000"/>
                <w:kern w:val="0"/>
                <w:sz w:val="20"/>
                <w:szCs w:val="20"/>
                <w:lang w:val="en-US" w:eastAsia="zh-CN" w:bidi="ar"/>
              </w:rPr>
              <w:t>输送物料：复配水泥</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color w:val="000000"/>
                <w:kern w:val="0"/>
                <w:sz w:val="20"/>
                <w:szCs w:val="20"/>
                <w:lang w:val="en-US" w:eastAsia="zh-CN" w:bidi="ar"/>
              </w:rPr>
              <w:t>输送量：1000t/h（水泥）</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highlight w:val="none"/>
                <w:lang w:val="en-US" w:eastAsia="zh-CN" w:bidi="ar"/>
              </w:rPr>
              <w:t>带速=2.5m/s</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color w:val="000000"/>
                <w:kern w:val="0"/>
                <w:sz w:val="20"/>
                <w:szCs w:val="20"/>
                <w:lang w:val="en-US" w:eastAsia="zh-CN" w:bidi="ar"/>
              </w:rPr>
              <w:t>爬坡角度：0°</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爬坡高度：0m</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水平输送距离：263.5m</w:t>
            </w: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800" w:type="dxa"/>
            <w:noWrap/>
            <w:vAlign w:val="top"/>
          </w:tcPr>
          <w:p>
            <w:pPr>
              <w:widowControl/>
              <w:adjustRightInd/>
              <w:snapToGrid/>
              <w:spacing w:line="240" w:lineRule="auto"/>
              <w:jc w:val="center"/>
              <w:rPr>
                <w:rFonts w:hint="eastAsia" w:ascii="宋体" w:hAnsi="宋体" w:eastAsia="宋体" w:cs="宋体"/>
                <w:b w:val="0"/>
                <w:bCs w:val="0"/>
                <w:color w:val="auto"/>
                <w:kern w:val="0"/>
                <w:sz w:val="21"/>
                <w:szCs w:val="21"/>
                <w:highlight w:val="none"/>
                <w:lang w:val="en-US" w:eastAsia="zh-CN" w:bidi="ar-SA"/>
              </w:rPr>
            </w:pPr>
          </w:p>
        </w:tc>
        <w:tc>
          <w:tcPr>
            <w:tcW w:w="1518" w:type="dxa"/>
            <w:noWrap/>
            <w:vAlign w:val="top"/>
          </w:tcPr>
          <w:p>
            <w:pPr>
              <w:widowControl/>
              <w:adjustRightInd/>
              <w:snapToGrid/>
              <w:spacing w:line="240" w:lineRule="auto"/>
              <w:rPr>
                <w:rFonts w:hint="eastAsia" w:ascii="宋体" w:hAnsi="宋体" w:eastAsia="宋体" w:cs="宋体"/>
                <w:b w:val="0"/>
                <w:bCs w:val="0"/>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减速机</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电动机</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液力耦合器</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联轴器</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胶带</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EP-200   B1800</w:t>
            </w: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65"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c>
          <w:tcPr>
            <w:tcW w:w="1701"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垂直张紧装置</w:t>
            </w:r>
          </w:p>
        </w:tc>
        <w:tc>
          <w:tcPr>
            <w:tcW w:w="3119"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B1800</w:t>
            </w: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p>
        </w:tc>
        <w:tc>
          <w:tcPr>
            <w:tcW w:w="800" w:type="dxa"/>
            <w:noWrap/>
            <w:vAlign w:val="top"/>
          </w:tcPr>
          <w:p>
            <w:pPr>
              <w:widowControl/>
              <w:adjustRightInd/>
              <w:snapToGrid/>
              <w:spacing w:line="240" w:lineRule="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p>
        </w:tc>
        <w:tc>
          <w:tcPr>
            <w:tcW w:w="1518" w:type="dxa"/>
            <w:noWrap/>
            <w:vAlign w:val="top"/>
          </w:tcPr>
          <w:p>
            <w:pPr>
              <w:widowControl/>
              <w:adjustRightInd/>
              <w:snapToGrid/>
              <w:spacing w:line="240" w:lineRule="auto"/>
              <w:rPr>
                <w:rFonts w:hint="eastAsia" w:ascii="Arial Unicode MS" w:hAnsi="Arial Unicode MS" w:eastAsia="Arial Unicode MS" w:cs="Arial Unicode MS"/>
                <w:b/>
                <w:bCs/>
                <w:color w:val="auto"/>
                <w:kern w:val="0"/>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503" w:type="dxa"/>
            <w:gridSpan w:val="6"/>
            <w:noWrap w:val="0"/>
            <w:vAlign w:val="top"/>
          </w:tcPr>
          <w:p>
            <w:pPr>
              <w:rPr>
                <w:rFonts w:hint="eastAsia" w:ascii="宋体" w:hAnsi="宋体" w:eastAsia="宋体"/>
                <w:b/>
                <w:color w:val="auto"/>
                <w:highlight w:val="none"/>
                <w:lang w:val="en-US" w:eastAsia="zh-CN"/>
              </w:rPr>
            </w:pPr>
            <w:r>
              <w:rPr>
                <w:rFonts w:hint="eastAsia" w:ascii="宋体" w:hAnsi="宋体" w:eastAsia="宋体"/>
                <w:b/>
                <w:color w:val="auto"/>
                <w:highlight w:val="none"/>
                <w:lang w:val="en-US" w:eastAsia="zh-CN"/>
              </w:rPr>
              <w:t>具体布置</w:t>
            </w:r>
            <w:r>
              <w:rPr>
                <w:rFonts w:hint="eastAsia" w:ascii="宋体" w:hAnsi="宋体" w:eastAsia="宋体"/>
                <w:b/>
                <w:color w:val="auto"/>
                <w:highlight w:val="none"/>
              </w:rPr>
              <w:t>见附</w:t>
            </w:r>
            <w:r>
              <w:rPr>
                <w:rFonts w:hint="eastAsia" w:ascii="宋体" w:hAnsi="宋体" w:eastAsia="宋体"/>
                <w:b/>
                <w:strike w:val="0"/>
                <w:dstrike w:val="0"/>
                <w:color w:val="auto"/>
                <w:highlight w:val="none"/>
                <w:lang w:val="en-US" w:eastAsia="zh-CN"/>
              </w:rPr>
              <w:t>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503" w:type="dxa"/>
            <w:gridSpan w:val="6"/>
            <w:shd w:val="clear" w:color="000000" w:fill="FFFFFF"/>
            <w:noWrap w:val="0"/>
            <w:vAlign w:val="top"/>
          </w:tcPr>
          <w:p>
            <w:pPr>
              <w:widowControl/>
              <w:adjustRightInd/>
              <w:snapToGrid/>
              <w:spacing w:line="240" w:lineRule="auto"/>
              <w:rPr>
                <w:rFonts w:hint="eastAsia" w:ascii="宋体" w:hAnsi="宋体" w:eastAsia="宋体"/>
                <w:color w:val="auto"/>
                <w:w w:val="80"/>
                <w:kern w:val="0"/>
                <w:sz w:val="21"/>
                <w:szCs w:val="21"/>
                <w:highlight w:val="none"/>
              </w:rPr>
            </w:pPr>
          </w:p>
          <w:p>
            <w:pPr>
              <w:overflowPunct w:val="0"/>
              <w:spacing w:line="240" w:lineRule="auto"/>
              <w:ind w:left="1200" w:hanging="1200" w:hangingChars="500"/>
              <w:rPr>
                <w:rFonts w:hint="eastAsia" w:ascii="宋体" w:hAnsi="宋体" w:eastAsia="宋体"/>
                <w:color w:val="auto"/>
                <w:szCs w:val="24"/>
                <w:highlight w:val="none"/>
              </w:rPr>
            </w:pPr>
            <w:r>
              <w:rPr>
                <w:rFonts w:hint="eastAsia" w:ascii="宋体" w:hAnsi="宋体" w:eastAsia="宋体"/>
                <w:color w:val="auto"/>
                <w:szCs w:val="24"/>
                <w:highlight w:val="none"/>
              </w:rPr>
              <w:t>技术要求：（如设备清单表中与此不一致，按照此技术要求配置。）</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投标时以上设备需做好分项报价注明重量和外购件制造商,设备总价为到建设工地价格。</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驱动电机功率大于22k</w:t>
            </w:r>
            <w:r>
              <w:rPr>
                <w:rFonts w:ascii="宋体" w:hAnsi="宋体" w:eastAsia="宋体"/>
                <w:color w:val="auto"/>
                <w:szCs w:val="24"/>
                <w:highlight w:val="none"/>
              </w:rPr>
              <w:t>W</w:t>
            </w:r>
            <w:r>
              <w:rPr>
                <w:rFonts w:hint="eastAsia" w:ascii="宋体" w:hAnsi="宋体" w:eastAsia="宋体"/>
                <w:color w:val="auto"/>
                <w:szCs w:val="24"/>
                <w:highlight w:val="none"/>
              </w:rPr>
              <w:t>的皮带机，头尾部轴承为SKF/FAG.</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减速器选用江阴、博能、泰隆、泰兴、国茂。</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电机选用皖南YE3系列或同等品牌的YE3系列电机。</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需提供安装调试期间容易损坏的易损件及清单。</w:t>
            </w:r>
          </w:p>
          <w:p>
            <w:pPr>
              <w:numPr>
                <w:ilvl w:val="0"/>
                <w:numId w:val="6"/>
              </w:numPr>
              <w:overflowPunct w:val="0"/>
              <w:spacing w:line="240" w:lineRule="auto"/>
              <w:rPr>
                <w:rFonts w:ascii="宋体" w:hAnsi="宋体" w:eastAsia="宋体"/>
                <w:color w:val="auto"/>
                <w:szCs w:val="24"/>
                <w:highlight w:val="none"/>
              </w:rPr>
            </w:pPr>
            <w:r>
              <w:rPr>
                <w:rFonts w:hint="eastAsia" w:ascii="宋体" w:hAnsi="宋体" w:eastAsia="宋体"/>
                <w:color w:val="auto"/>
                <w:szCs w:val="24"/>
                <w:highlight w:val="none"/>
              </w:rPr>
              <w:t>需提供设备正常使用两年所需的备品备件及其清单及价格。</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需提供满足设备长期正常运转的关键部件清单。</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需提供专用工具.。</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所供货设备必须符合国家一级安全标准化相关要求，因设备设计原因造成的后期安全标准化整改费用，必须由供货商承担。</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头部清扫装置采用</w:t>
            </w:r>
            <w:r>
              <w:rPr>
                <w:rFonts w:hint="eastAsia" w:ascii="宋体" w:hAnsi="宋体" w:eastAsia="宋体"/>
                <w:color w:val="auto"/>
                <w:szCs w:val="24"/>
                <w:highlight w:val="none"/>
                <w:lang w:val="en-US" w:eastAsia="zh-CN"/>
              </w:rPr>
              <w:t>二</w:t>
            </w:r>
            <w:r>
              <w:rPr>
                <w:rFonts w:hint="eastAsia" w:ascii="宋体" w:hAnsi="宋体" w:eastAsia="宋体"/>
                <w:color w:val="auto"/>
                <w:szCs w:val="24"/>
                <w:highlight w:val="none"/>
              </w:rPr>
              <w:t>级清扫:一级清扫器选用聚氨酯，</w:t>
            </w:r>
            <w:r>
              <w:rPr>
                <w:rFonts w:hint="eastAsia" w:ascii="宋体" w:hAnsi="宋体" w:eastAsia="宋体"/>
                <w:color w:val="auto"/>
                <w:szCs w:val="24"/>
                <w:highlight w:val="none"/>
                <w:lang w:val="en-US" w:eastAsia="zh-CN"/>
              </w:rPr>
              <w:t>二</w:t>
            </w:r>
            <w:r>
              <w:rPr>
                <w:rFonts w:hint="eastAsia" w:ascii="宋体" w:hAnsi="宋体" w:eastAsia="宋体"/>
                <w:color w:val="auto"/>
                <w:szCs w:val="24"/>
                <w:highlight w:val="none"/>
              </w:rPr>
              <w:t>级清扫器采用自带动力毛刷，毛刷要求带钢丝。尾部必须配备空段清扫器。头部下料斗设计确保清扫器所清物料落在下料斗内。</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为了使落料不冲刷头罩，头部下料斗（溜槽）内部物料冲刷部位必须</w:t>
            </w:r>
            <w:r>
              <w:rPr>
                <w:rFonts w:hint="default" w:ascii="宋体" w:hAnsi="宋体" w:eastAsia="宋体"/>
                <w:color w:val="auto"/>
                <w:szCs w:val="24"/>
                <w:highlight w:val="none"/>
              </w:rPr>
              <w:t>考虑</w:t>
            </w:r>
            <w:r>
              <w:rPr>
                <w:rFonts w:hint="eastAsia" w:ascii="宋体" w:hAnsi="宋体" w:eastAsia="宋体"/>
                <w:strike w:val="0"/>
                <w:dstrike w:val="0"/>
                <w:color w:val="auto"/>
                <w:szCs w:val="24"/>
                <w:highlight w:val="none"/>
                <w:lang w:val="en-US" w:eastAsia="zh-CN"/>
              </w:rPr>
              <w:t>耐磨</w:t>
            </w:r>
            <w:r>
              <w:rPr>
                <w:rFonts w:hint="eastAsia" w:ascii="宋体" w:hAnsi="宋体" w:eastAsia="宋体"/>
                <w:color w:val="auto"/>
                <w:szCs w:val="24"/>
                <w:highlight w:val="none"/>
              </w:rPr>
              <w:t>。</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导料槽必须加高设计，导料槽为喇叭口型，导料槽挡料橡胶板为唇形双层结构。</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lang w:val="en-US" w:eastAsia="zh-CN"/>
              </w:rPr>
              <w:t>带式输送机</w:t>
            </w:r>
            <w:r>
              <w:rPr>
                <w:rFonts w:hint="eastAsia" w:ascii="宋体" w:hAnsi="宋体" w:eastAsia="宋体"/>
                <w:strike w:val="0"/>
                <w:dstrike w:val="0"/>
                <w:color w:val="auto"/>
                <w:szCs w:val="24"/>
                <w:highlight w:val="none"/>
                <w:lang w:val="en-US" w:eastAsia="zh-CN"/>
              </w:rPr>
              <w:t>的</w:t>
            </w:r>
            <w:r>
              <w:rPr>
                <w:rFonts w:hint="eastAsia" w:ascii="宋体" w:hAnsi="宋体" w:eastAsia="宋体"/>
                <w:color w:val="auto"/>
                <w:szCs w:val="24"/>
                <w:highlight w:val="none"/>
              </w:rPr>
              <w:t>张紧装置及尾部</w:t>
            </w:r>
            <w:r>
              <w:rPr>
                <w:rFonts w:hint="eastAsia" w:ascii="宋体" w:hAnsi="宋体" w:eastAsia="宋体"/>
                <w:color w:val="auto"/>
                <w:szCs w:val="24"/>
                <w:highlight w:val="none"/>
                <w:lang w:val="en-US" w:eastAsia="zh-CN"/>
              </w:rPr>
              <w:t>配置</w:t>
            </w:r>
            <w:r>
              <w:rPr>
                <w:rFonts w:hint="eastAsia" w:ascii="宋体" w:hAnsi="宋体" w:eastAsia="宋体"/>
                <w:color w:val="auto"/>
                <w:szCs w:val="24"/>
                <w:highlight w:val="none"/>
              </w:rPr>
              <w:t>安全防护网，安全隔离网结构合理，制造精良，方便快速安装和拆卸。</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所有皮带必须设置安全保护装置，包括双侧拉绳开关（30米间隔），二级跑偏开关（</w:t>
            </w:r>
            <w:r>
              <w:rPr>
                <w:rFonts w:hint="eastAsia" w:ascii="宋体" w:hAnsi="宋体" w:eastAsia="宋体"/>
                <w:strike w:val="0"/>
                <w:dstrike w:val="0"/>
                <w:color w:val="auto"/>
                <w:szCs w:val="24"/>
                <w:highlight w:val="none"/>
                <w:lang w:val="en-US" w:eastAsia="zh-CN"/>
              </w:rPr>
              <w:t>3</w:t>
            </w:r>
            <w:r>
              <w:rPr>
                <w:rFonts w:hint="eastAsia" w:ascii="宋体" w:hAnsi="宋体" w:eastAsia="宋体"/>
                <w:color w:val="auto"/>
                <w:szCs w:val="24"/>
                <w:highlight w:val="none"/>
              </w:rPr>
              <w:t>0米间隔），速度探测器等。</w:t>
            </w:r>
          </w:p>
          <w:p>
            <w:pPr>
              <w:numPr>
                <w:ilvl w:val="0"/>
                <w:numId w:val="6"/>
              </w:numPr>
              <w:overflowPunct w:val="0"/>
              <w:spacing w:line="240" w:lineRule="auto"/>
              <w:rPr>
                <w:rFonts w:hint="eastAsia" w:ascii="宋体" w:hAnsi="宋体" w:eastAsia="宋体"/>
                <w:strike w:val="0"/>
                <w:color w:val="auto"/>
                <w:szCs w:val="24"/>
                <w:highlight w:val="none"/>
              </w:rPr>
            </w:pPr>
            <w:r>
              <w:rPr>
                <w:rFonts w:hint="eastAsia" w:ascii="宋体" w:hAnsi="宋体" w:eastAsia="宋体"/>
                <w:strike w:val="0"/>
                <w:dstrike w:val="0"/>
                <w:szCs w:val="24"/>
              </w:rPr>
              <w:t>所有皮带机功率应该重新核算，按数据表列出工作机轴功率，减速机额定功率及所选电机功率。</w:t>
            </w:r>
          </w:p>
          <w:p>
            <w:pPr>
              <w:numPr>
                <w:ilvl w:val="0"/>
                <w:numId w:val="6"/>
              </w:numPr>
              <w:overflowPunct w:val="0"/>
              <w:spacing w:line="240" w:lineRule="auto"/>
              <w:rPr>
                <w:rFonts w:hint="eastAsia" w:ascii="宋体" w:hAnsi="宋体" w:eastAsia="宋体" w:cs="Arial"/>
                <w:color w:val="auto"/>
                <w:kern w:val="0"/>
                <w:sz w:val="24"/>
                <w:szCs w:val="24"/>
                <w:highlight w:val="none"/>
                <w:lang w:val="en-US" w:eastAsia="zh-CN" w:bidi="ar-SA"/>
              </w:rPr>
            </w:pPr>
            <w:r>
              <w:rPr>
                <w:rFonts w:hint="eastAsia" w:ascii="宋体" w:hAnsi="宋体" w:eastAsia="宋体"/>
                <w:color w:val="auto"/>
                <w:szCs w:val="24"/>
                <w:highlight w:val="none"/>
              </w:rPr>
              <w:t>所有托辊、头尾轮、减速机、电机、制动器、运行保护装置必须防水包装，通过买方验收后发货。</w:t>
            </w:r>
          </w:p>
          <w:p>
            <w:pPr>
              <w:numPr>
                <w:ilvl w:val="0"/>
                <w:numId w:val="6"/>
              </w:numPr>
              <w:overflowPunct w:val="0"/>
              <w:spacing w:line="240" w:lineRule="auto"/>
              <w:rPr>
                <w:rFonts w:hint="eastAsia" w:ascii="宋体" w:hAnsi="宋体" w:eastAsia="宋体" w:cs="Arial"/>
                <w:color w:val="auto"/>
                <w:kern w:val="0"/>
                <w:sz w:val="24"/>
                <w:szCs w:val="24"/>
                <w:highlight w:val="none"/>
                <w:lang w:val="en-US" w:eastAsia="zh-CN" w:bidi="ar-SA"/>
              </w:rPr>
            </w:pPr>
            <w:r>
              <w:rPr>
                <w:rFonts w:hint="eastAsia" w:ascii="宋体" w:hAnsi="宋体" w:eastAsia="宋体" w:cs="Arial"/>
                <w:color w:val="auto"/>
                <w:kern w:val="0"/>
                <w:sz w:val="24"/>
                <w:szCs w:val="24"/>
                <w:highlight w:val="none"/>
                <w:lang w:val="en-US" w:eastAsia="zh-CN" w:bidi="ar-SA"/>
              </w:rPr>
              <w:t>设备外表面颜色待定，漆膜</w:t>
            </w:r>
            <w:r>
              <w:rPr>
                <w:rFonts w:hint="default" w:ascii="宋体" w:hAnsi="宋体" w:eastAsia="宋体" w:cs="Arial"/>
                <w:color w:val="auto"/>
                <w:kern w:val="0"/>
                <w:sz w:val="24"/>
                <w:szCs w:val="24"/>
                <w:highlight w:val="none"/>
                <w:lang w:val="en-US" w:eastAsia="zh-CN" w:bidi="ar-SA"/>
              </w:rPr>
              <w:t>（两底两面）总</w:t>
            </w:r>
            <w:r>
              <w:rPr>
                <w:rFonts w:hint="eastAsia" w:ascii="宋体" w:hAnsi="宋体" w:eastAsia="宋体" w:cs="Arial"/>
                <w:color w:val="auto"/>
                <w:kern w:val="0"/>
                <w:sz w:val="24"/>
                <w:szCs w:val="24"/>
                <w:highlight w:val="none"/>
                <w:lang w:val="en-US" w:eastAsia="zh-CN" w:bidi="ar-SA"/>
              </w:rPr>
              <w:t>厚度应达160μm以上。因本设备用于海港码头，要求卖方提供的设备油漆，应考虑其受搬运、储放以及长时期工作过程中可能出现的常有的环境腐蚀。</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皮带机传动装置</w:t>
            </w:r>
            <w:r>
              <w:rPr>
                <w:rFonts w:hint="eastAsia" w:ascii="宋体" w:hAnsi="宋体" w:eastAsia="宋体"/>
                <w:color w:val="auto"/>
                <w:szCs w:val="24"/>
                <w:highlight w:val="none"/>
                <w:lang w:val="en-US" w:eastAsia="zh-CN"/>
              </w:rPr>
              <w:t>30kW以下可采用电动滚筒形式，30kW及以上需采用传动滚筒加DCY减速机形式。</w:t>
            </w:r>
            <w:r>
              <w:rPr>
                <w:rFonts w:hint="eastAsia" w:ascii="宋体" w:hAnsi="宋体" w:eastAsia="宋体" w:cs="Times New Roman"/>
                <w:color w:val="auto"/>
                <w:szCs w:val="24"/>
                <w:highlight w:val="none"/>
              </w:rPr>
              <w:t>减速机额定功率是工作功率2.5</w:t>
            </w:r>
            <w:r>
              <w:rPr>
                <w:rFonts w:ascii="宋体" w:hAnsi="宋体" w:eastAsia="宋体"/>
                <w:color w:val="auto"/>
                <w:szCs w:val="24"/>
                <w:highlight w:val="none"/>
              </w:rPr>
              <w:t xml:space="preserve">倍以上。 </w:t>
            </w:r>
          </w:p>
          <w:p>
            <w:pPr>
              <w:numPr>
                <w:ilvl w:val="0"/>
                <w:numId w:val="6"/>
              </w:numPr>
              <w:overflowPunct w:val="0"/>
              <w:spacing w:line="240" w:lineRule="auto"/>
              <w:rPr>
                <w:rFonts w:hint="eastAsia" w:ascii="宋体" w:hAnsi="宋体" w:eastAsia="宋体"/>
                <w:color w:val="auto"/>
                <w:szCs w:val="24"/>
                <w:highlight w:val="none"/>
              </w:rPr>
            </w:pPr>
            <w:r>
              <w:rPr>
                <w:rFonts w:hint="eastAsia" w:ascii="宋体" w:hAnsi="宋体" w:eastAsia="宋体"/>
                <w:color w:val="auto"/>
                <w:szCs w:val="24"/>
                <w:highlight w:val="none"/>
              </w:rPr>
              <w:t>需配套纠偏装置，根据长度合理配置。</w:t>
            </w:r>
          </w:p>
        </w:tc>
      </w:tr>
    </w:tbl>
    <w:p>
      <w:pPr>
        <w:rPr>
          <w:rFonts w:hint="eastAsia" w:ascii="宋体" w:hAnsi="宋体" w:eastAsia="宋体"/>
          <w:b/>
          <w:color w:val="auto"/>
          <w:highlight w:val="none"/>
        </w:rPr>
      </w:pPr>
    </w:p>
    <w:p>
      <w:pPr>
        <w:pStyle w:val="2"/>
        <w:rPr>
          <w:rFonts w:hint="eastAsia" w:ascii="宋体" w:hAnsi="宋体" w:eastAsia="宋体"/>
          <w:color w:val="auto"/>
          <w:highlight w:val="none"/>
        </w:rPr>
      </w:pPr>
      <w:bookmarkStart w:id="3" w:name="_Toc46774764"/>
      <w:r>
        <w:rPr>
          <w:rFonts w:hint="eastAsia" w:ascii="宋体" w:hAnsi="宋体" w:eastAsia="宋体"/>
          <w:color w:val="auto"/>
          <w:highlight w:val="none"/>
        </w:rPr>
        <w:t>买方使用条件和技术要求</w:t>
      </w:r>
      <w:bookmarkEnd w:id="2"/>
      <w:bookmarkEnd w:id="3"/>
    </w:p>
    <w:p>
      <w:pPr>
        <w:pStyle w:val="3"/>
        <w:rPr>
          <w:rFonts w:hint="eastAsia" w:ascii="宋体" w:hAnsi="宋体" w:eastAsia="宋体"/>
          <w:color w:val="auto"/>
          <w:highlight w:val="none"/>
        </w:rPr>
      </w:pPr>
      <w:bookmarkStart w:id="4" w:name="_Toc46774765"/>
      <w:bookmarkStart w:id="5" w:name="_Toc82918347"/>
      <w:r>
        <w:rPr>
          <w:rFonts w:hint="eastAsia" w:ascii="宋体" w:hAnsi="宋体" w:eastAsia="宋体"/>
          <w:color w:val="auto"/>
          <w:highlight w:val="none"/>
        </w:rPr>
        <w:t>2.1 使用条件</w:t>
      </w:r>
      <w:bookmarkEnd w:id="4"/>
    </w:p>
    <w:p>
      <w:pPr>
        <w:spacing w:before="38" w:beforeLines="10" w:after="76" w:afterLines="20" w:line="312" w:lineRule="auto"/>
        <w:ind w:left="144" w:leftChars="60" w:firstLine="336" w:firstLineChars="140"/>
        <w:jc w:val="left"/>
        <w:rPr>
          <w:rFonts w:hint="default" w:ascii="宋体" w:hAnsi="宋体" w:eastAsia="宋体"/>
          <w:color w:val="auto"/>
          <w:highlight w:val="none"/>
          <w:lang w:val="en-US" w:eastAsia="zh-CN"/>
        </w:rPr>
      </w:pPr>
      <w:r>
        <w:rPr>
          <w:rFonts w:hint="eastAsia" w:ascii="宋体" w:hAnsi="宋体" w:eastAsia="宋体"/>
          <w:color w:val="auto"/>
          <w:highlight w:val="none"/>
        </w:rPr>
        <w:t xml:space="preserve">  </w:t>
      </w:r>
      <w:bookmarkStart w:id="6" w:name="_Toc294986475"/>
      <w:r>
        <w:rPr>
          <w:rFonts w:hint="eastAsia" w:ascii="宋体" w:hAnsi="宋体" w:eastAsia="宋体"/>
          <w:color w:val="auto"/>
          <w:highlight w:val="none"/>
        </w:rPr>
        <w:t>使用地点：</w:t>
      </w:r>
    </w:p>
    <w:p>
      <w:pPr>
        <w:pStyle w:val="50"/>
        <w:ind w:firstLine="720" w:firstLineChars="300"/>
        <w:rPr>
          <w:rFonts w:hint="eastAsia" w:ascii="宋体" w:hAnsi="宋体" w:eastAsia="宋体"/>
          <w:strike w:val="0"/>
          <w:color w:val="auto"/>
          <w:highlight w:val="none"/>
        </w:rPr>
      </w:pPr>
      <w:r>
        <w:rPr>
          <w:rFonts w:hint="eastAsia" w:ascii="宋体" w:hAnsi="宋体" w:eastAsia="宋体"/>
          <w:color w:val="auto"/>
          <w:highlight w:val="none"/>
        </w:rPr>
        <w:t>现场海拔高度：</w:t>
      </w:r>
    </w:p>
    <w:p>
      <w:pPr>
        <w:pStyle w:val="50"/>
        <w:ind w:left="2040" w:leftChars="300" w:hanging="1320" w:hangingChars="550"/>
        <w:rPr>
          <w:rFonts w:hint="eastAsia" w:ascii="宋体" w:hAnsi="宋体" w:eastAsia="宋体"/>
          <w:color w:val="auto"/>
          <w:szCs w:val="22"/>
          <w:highlight w:val="none"/>
          <w:lang w:eastAsia="zh-CN"/>
        </w:rPr>
      </w:pPr>
      <w:r>
        <w:rPr>
          <w:rFonts w:hint="eastAsia" w:ascii="宋体" w:hAnsi="宋体" w:eastAsia="宋体"/>
          <w:color w:val="auto"/>
          <w:highlight w:val="none"/>
        </w:rPr>
        <w:t>环境温度：</w:t>
      </w:r>
      <w:r>
        <w:rPr>
          <w:rFonts w:hint="eastAsia" w:ascii="宋体" w:hAnsi="宋体" w:eastAsia="宋体"/>
          <w:color w:val="auto"/>
          <w:szCs w:val="22"/>
          <w:highlight w:val="none"/>
        </w:rPr>
        <w:t>多年平均气温 24.7℃</w:t>
      </w:r>
      <w:r>
        <w:rPr>
          <w:rFonts w:hint="eastAsia" w:ascii="宋体" w:hAnsi="宋体" w:eastAsia="宋体"/>
          <w:color w:val="auto"/>
          <w:szCs w:val="22"/>
          <w:highlight w:val="none"/>
          <w:lang w:eastAsia="zh-CN"/>
        </w:rPr>
        <w:t>，</w:t>
      </w:r>
      <w:r>
        <w:rPr>
          <w:rFonts w:hint="eastAsia" w:ascii="宋体" w:hAnsi="宋体" w:eastAsia="宋体"/>
          <w:color w:val="auto"/>
          <w:szCs w:val="22"/>
          <w:highlight w:val="none"/>
        </w:rPr>
        <w:t>极端最高气温 38.5℃</w:t>
      </w:r>
      <w:r>
        <w:rPr>
          <w:rFonts w:hint="eastAsia" w:ascii="宋体" w:hAnsi="宋体" w:eastAsia="宋体"/>
          <w:color w:val="auto"/>
          <w:szCs w:val="22"/>
          <w:highlight w:val="none"/>
          <w:lang w:eastAsia="zh-CN"/>
        </w:rPr>
        <w:t>，</w:t>
      </w:r>
      <w:r>
        <w:rPr>
          <w:rFonts w:hint="eastAsia" w:ascii="宋体" w:hAnsi="宋体" w:eastAsia="宋体"/>
          <w:color w:val="auto"/>
          <w:szCs w:val="22"/>
          <w:highlight w:val="none"/>
        </w:rPr>
        <w:t>极端最低气温 7.3℃</w:t>
      </w:r>
    </w:p>
    <w:p>
      <w:pPr>
        <w:pStyle w:val="50"/>
        <w:ind w:left="2040" w:leftChars="300" w:hanging="1320" w:hangingChars="550"/>
        <w:rPr>
          <w:rFonts w:hint="default" w:ascii="宋体" w:hAnsi="宋体" w:eastAsia="宋体"/>
          <w:color w:val="auto"/>
          <w:szCs w:val="22"/>
          <w:highlight w:val="none"/>
          <w:lang w:val="en-US" w:eastAsia="zh-CN"/>
        </w:rPr>
      </w:pPr>
      <w:r>
        <w:rPr>
          <w:rFonts w:hint="eastAsia" w:ascii="宋体" w:hAnsi="宋体" w:eastAsia="宋体"/>
          <w:color w:val="auto"/>
          <w:szCs w:val="22"/>
          <w:highlight w:val="none"/>
        </w:rPr>
        <w:t>当地风速：</w:t>
      </w:r>
      <w:r>
        <w:rPr>
          <w:rFonts w:hint="eastAsia" w:ascii="宋体" w:hAnsi="宋体" w:eastAsia="宋体"/>
          <w:color w:val="auto"/>
          <w:szCs w:val="22"/>
          <w:highlight w:val="none"/>
          <w:lang w:val="en-US" w:eastAsia="zh-CN"/>
        </w:rPr>
        <w:t>最大风速为32.3m/s</w:t>
      </w:r>
    </w:p>
    <w:p>
      <w:pPr>
        <w:pStyle w:val="50"/>
        <w:ind w:left="2040" w:leftChars="300" w:hanging="1320" w:hangingChars="550"/>
        <w:rPr>
          <w:rFonts w:hint="eastAsia" w:ascii="宋体" w:hAnsi="宋体" w:eastAsia="宋体"/>
          <w:color w:val="auto"/>
          <w:szCs w:val="22"/>
          <w:highlight w:val="none"/>
        </w:rPr>
      </w:pPr>
      <w:r>
        <w:rPr>
          <w:rFonts w:hint="eastAsia" w:ascii="宋体" w:hAnsi="宋体" w:eastAsia="宋体"/>
          <w:color w:val="auto"/>
          <w:szCs w:val="22"/>
          <w:highlight w:val="none"/>
        </w:rPr>
        <w:t>当地空气湿度：本地区湿度较大，</w:t>
      </w:r>
      <w:r>
        <w:rPr>
          <w:rFonts w:hint="eastAsia" w:ascii="宋体" w:hAnsi="宋体" w:eastAsia="宋体"/>
          <w:color w:val="auto"/>
          <w:szCs w:val="22"/>
          <w:highlight w:val="none"/>
          <w:lang w:val="en-US" w:eastAsia="zh-CN"/>
        </w:rPr>
        <w:t>年</w:t>
      </w:r>
      <w:r>
        <w:rPr>
          <w:rFonts w:hint="eastAsia" w:ascii="宋体" w:hAnsi="宋体" w:eastAsia="宋体"/>
          <w:color w:val="auto"/>
          <w:szCs w:val="22"/>
          <w:highlight w:val="none"/>
        </w:rPr>
        <w:t>平均相对湿度为82%。</w:t>
      </w:r>
    </w:p>
    <w:p>
      <w:pPr>
        <w:pStyle w:val="50"/>
        <w:ind w:firstLine="720" w:firstLineChars="300"/>
        <w:rPr>
          <w:rFonts w:hint="eastAsia" w:ascii="宋体" w:hAnsi="宋体" w:eastAsia="宋体"/>
          <w:color w:val="auto"/>
          <w:highlight w:val="none"/>
        </w:rPr>
      </w:pPr>
      <w:r>
        <w:rPr>
          <w:rFonts w:hint="eastAsia" w:ascii="宋体" w:hAnsi="宋体" w:eastAsia="宋体"/>
          <w:color w:val="auto"/>
          <w:highlight w:val="none"/>
        </w:rPr>
        <w:t>其它条件和要求详见商务标的技术要求部分。</w:t>
      </w:r>
    </w:p>
    <w:p>
      <w:pPr>
        <w:pStyle w:val="3"/>
        <w:rPr>
          <w:rFonts w:hint="eastAsia" w:ascii="宋体" w:hAnsi="宋体" w:eastAsia="宋体"/>
          <w:color w:val="auto"/>
          <w:highlight w:val="none"/>
        </w:rPr>
      </w:pPr>
      <w:bookmarkStart w:id="7" w:name="_Toc46774766"/>
      <w:r>
        <w:rPr>
          <w:rFonts w:hint="eastAsia" w:ascii="宋体" w:hAnsi="宋体" w:eastAsia="宋体"/>
          <w:color w:val="auto"/>
          <w:highlight w:val="none"/>
        </w:rPr>
        <w:t>2</w:t>
      </w:r>
      <w:r>
        <w:rPr>
          <w:rFonts w:ascii="宋体" w:hAnsi="宋体" w:eastAsia="宋体"/>
          <w:color w:val="auto"/>
          <w:highlight w:val="none"/>
        </w:rPr>
        <w:t>.</w:t>
      </w:r>
      <w:r>
        <w:rPr>
          <w:rFonts w:hint="eastAsia" w:ascii="宋体" w:hAnsi="宋体" w:eastAsia="宋体"/>
          <w:color w:val="auto"/>
          <w:highlight w:val="none"/>
        </w:rPr>
        <w:t>2</w:t>
      </w:r>
      <w:r>
        <w:rPr>
          <w:rFonts w:ascii="宋体" w:hAnsi="宋体" w:eastAsia="宋体"/>
          <w:color w:val="auto"/>
          <w:highlight w:val="none"/>
        </w:rPr>
        <w:t xml:space="preserve"> </w:t>
      </w:r>
      <w:r>
        <w:rPr>
          <w:rFonts w:hint="eastAsia" w:ascii="宋体" w:hAnsi="宋体" w:eastAsia="宋体"/>
          <w:color w:val="auto"/>
          <w:highlight w:val="none"/>
        </w:rPr>
        <w:t>电力状况</w:t>
      </w:r>
      <w:bookmarkEnd w:id="6"/>
      <w:bookmarkEnd w:id="7"/>
    </w:p>
    <w:p>
      <w:pPr>
        <w:pStyle w:val="50"/>
        <w:ind w:firstLine="720" w:firstLineChars="300"/>
        <w:rPr>
          <w:rFonts w:hint="eastAsia" w:ascii="宋体" w:hAnsi="宋体" w:eastAsia="宋体"/>
          <w:color w:val="auto"/>
          <w:highlight w:val="none"/>
        </w:rPr>
      </w:pPr>
      <w:r>
        <w:rPr>
          <w:rFonts w:hint="eastAsia" w:ascii="宋体" w:hAnsi="宋体" w:eastAsia="宋体"/>
          <w:color w:val="auto"/>
          <w:highlight w:val="none"/>
        </w:rPr>
        <w:t>电机类型：  中压电机</w:t>
      </w:r>
      <w:r>
        <w:rPr>
          <w:rFonts w:ascii="宋体" w:hAnsi="宋体" w:eastAsia="宋体"/>
          <w:color w:val="auto"/>
          <w:highlight w:val="none"/>
        </w:rPr>
        <w:t>(</w:t>
      </w:r>
      <w:r>
        <w:rPr>
          <w:rFonts w:hint="eastAsia" w:ascii="宋体" w:hAnsi="宋体" w:eastAsia="宋体" w:cs="Arial Unicode MS"/>
          <w:color w:val="auto"/>
          <w:highlight w:val="none"/>
        </w:rPr>
        <w:t>≥</w:t>
      </w:r>
      <w:r>
        <w:rPr>
          <w:rFonts w:hint="eastAsia" w:ascii="宋体" w:hAnsi="宋体" w:eastAsia="宋体"/>
          <w:color w:val="auto"/>
          <w:highlight w:val="none"/>
        </w:rPr>
        <w:t>250kW) 为</w:t>
      </w:r>
      <w:r>
        <w:rPr>
          <w:rFonts w:ascii="宋体" w:hAnsi="宋体" w:eastAsia="宋体"/>
          <w:color w:val="auto"/>
          <w:highlight w:val="none"/>
        </w:rPr>
        <w:t>绕线型电动机</w:t>
      </w:r>
      <w:r>
        <w:rPr>
          <w:rFonts w:hint="eastAsia" w:ascii="宋体" w:hAnsi="宋体" w:eastAsia="宋体"/>
          <w:color w:val="auto"/>
          <w:highlight w:val="none"/>
        </w:rPr>
        <w:t>（变频电机除外）</w:t>
      </w:r>
    </w:p>
    <w:p>
      <w:pPr>
        <w:pStyle w:val="50"/>
        <w:ind w:firstLine="2160" w:firstLineChars="900"/>
        <w:rPr>
          <w:rFonts w:hint="eastAsia" w:ascii="宋体" w:hAnsi="宋体" w:eastAsia="宋体"/>
          <w:color w:val="auto"/>
          <w:highlight w:val="none"/>
        </w:rPr>
      </w:pPr>
      <w:r>
        <w:rPr>
          <w:rFonts w:hint="eastAsia" w:ascii="宋体" w:hAnsi="宋体" w:eastAsia="宋体"/>
          <w:color w:val="auto"/>
          <w:highlight w:val="none"/>
        </w:rPr>
        <w:t>低压电机</w:t>
      </w:r>
      <w:r>
        <w:rPr>
          <w:rFonts w:ascii="宋体" w:hAnsi="宋体" w:eastAsia="宋体"/>
          <w:color w:val="auto"/>
          <w:highlight w:val="none"/>
        </w:rPr>
        <w:t>(&lt;</w:t>
      </w:r>
      <w:r>
        <w:rPr>
          <w:rFonts w:hint="eastAsia" w:ascii="宋体" w:hAnsi="宋体" w:eastAsia="宋体"/>
          <w:color w:val="auto"/>
          <w:highlight w:val="none"/>
        </w:rPr>
        <w:t>250 kW) 为高效鼠笼电机</w:t>
      </w:r>
    </w:p>
    <w:p>
      <w:pPr>
        <w:pStyle w:val="50"/>
        <w:ind w:firstLine="720" w:firstLineChars="300"/>
        <w:rPr>
          <w:rFonts w:hint="eastAsia" w:ascii="宋体" w:hAnsi="宋体" w:eastAsia="宋体"/>
          <w:color w:val="auto"/>
          <w:highlight w:val="none"/>
        </w:rPr>
      </w:pPr>
      <w:r>
        <w:rPr>
          <w:rFonts w:hint="eastAsia" w:ascii="宋体" w:hAnsi="宋体" w:eastAsia="宋体"/>
          <w:color w:val="auto"/>
          <w:highlight w:val="none"/>
        </w:rPr>
        <w:t>额定电压：  中压电机</w:t>
      </w:r>
      <w:r>
        <w:rPr>
          <w:rFonts w:ascii="宋体" w:hAnsi="宋体" w:eastAsia="宋体"/>
          <w:color w:val="auto"/>
          <w:highlight w:val="none"/>
        </w:rPr>
        <w:t>(</w:t>
      </w:r>
      <w:r>
        <w:rPr>
          <w:rFonts w:hint="eastAsia" w:ascii="宋体" w:hAnsi="宋体" w:eastAsia="宋体" w:cs="Arial Unicode MS"/>
          <w:color w:val="auto"/>
          <w:highlight w:val="none"/>
        </w:rPr>
        <w:t>≥</w:t>
      </w:r>
      <w:r>
        <w:rPr>
          <w:rFonts w:hint="eastAsia" w:ascii="宋体" w:hAnsi="宋体" w:eastAsia="宋体"/>
          <w:color w:val="auto"/>
          <w:highlight w:val="none"/>
        </w:rPr>
        <w:t>250 kW) 为10</w:t>
      </w:r>
      <w:r>
        <w:rPr>
          <w:rFonts w:ascii="宋体" w:hAnsi="宋体" w:eastAsia="宋体"/>
          <w:color w:val="auto"/>
          <w:highlight w:val="none"/>
        </w:rPr>
        <w:t xml:space="preserve">kV, </w:t>
      </w:r>
      <w:r>
        <w:rPr>
          <w:rFonts w:hint="eastAsia" w:ascii="宋体" w:hAnsi="宋体" w:eastAsia="宋体"/>
          <w:color w:val="auto"/>
          <w:highlight w:val="none"/>
        </w:rPr>
        <w:t>5</w:t>
      </w:r>
      <w:r>
        <w:rPr>
          <w:rFonts w:ascii="宋体" w:hAnsi="宋体" w:eastAsia="宋体"/>
          <w:color w:val="auto"/>
          <w:highlight w:val="none"/>
        </w:rPr>
        <w:t>0Hz</w:t>
      </w:r>
    </w:p>
    <w:p>
      <w:pPr>
        <w:pStyle w:val="50"/>
        <w:ind w:firstLine="2160" w:firstLineChars="900"/>
        <w:rPr>
          <w:rFonts w:hint="eastAsia" w:ascii="宋体" w:hAnsi="宋体" w:eastAsia="宋体"/>
          <w:color w:val="auto"/>
          <w:highlight w:val="none"/>
        </w:rPr>
      </w:pPr>
      <w:r>
        <w:rPr>
          <w:rFonts w:hint="eastAsia" w:ascii="宋体" w:hAnsi="宋体" w:eastAsia="宋体"/>
          <w:color w:val="auto"/>
          <w:highlight w:val="none"/>
        </w:rPr>
        <w:t>低压电机</w:t>
      </w:r>
      <w:r>
        <w:rPr>
          <w:rFonts w:ascii="宋体" w:hAnsi="宋体" w:eastAsia="宋体"/>
          <w:color w:val="auto"/>
          <w:highlight w:val="none"/>
        </w:rPr>
        <w:t>(&lt;</w:t>
      </w:r>
      <w:r>
        <w:rPr>
          <w:rFonts w:hint="eastAsia" w:ascii="宋体" w:hAnsi="宋体" w:eastAsia="宋体"/>
          <w:color w:val="auto"/>
          <w:highlight w:val="none"/>
        </w:rPr>
        <w:t>250 kW) 为380V，5</w:t>
      </w:r>
      <w:r>
        <w:rPr>
          <w:rFonts w:ascii="宋体" w:hAnsi="宋体" w:eastAsia="宋体"/>
          <w:color w:val="auto"/>
          <w:highlight w:val="none"/>
        </w:rPr>
        <w:t>0Hz</w:t>
      </w:r>
    </w:p>
    <w:p>
      <w:pPr>
        <w:pStyle w:val="50"/>
        <w:ind w:firstLine="720" w:firstLineChars="300"/>
        <w:rPr>
          <w:rFonts w:hint="eastAsia" w:ascii="宋体" w:hAnsi="宋体" w:eastAsia="宋体"/>
          <w:color w:val="auto"/>
          <w:highlight w:val="none"/>
        </w:rPr>
      </w:pPr>
      <w:r>
        <w:rPr>
          <w:rFonts w:hint="eastAsia" w:ascii="宋体" w:hAnsi="宋体" w:eastAsia="宋体"/>
          <w:color w:val="auto"/>
          <w:highlight w:val="none"/>
        </w:rPr>
        <w:t xml:space="preserve">启动方式： </w:t>
      </w:r>
      <w:r>
        <w:rPr>
          <w:rFonts w:ascii="宋体" w:hAnsi="宋体" w:eastAsia="宋体"/>
          <w:color w:val="auto"/>
          <w:highlight w:val="none"/>
        </w:rPr>
        <w:t>绕线型电动机采用液体变阻器起动装置进行起动。</w:t>
      </w:r>
    </w:p>
    <w:p>
      <w:pPr>
        <w:pStyle w:val="50"/>
        <w:ind w:firstLine="2040" w:firstLineChars="850"/>
        <w:rPr>
          <w:rFonts w:hint="eastAsia" w:ascii="宋体" w:hAnsi="宋体" w:eastAsia="宋体"/>
          <w:color w:val="auto"/>
          <w:highlight w:val="none"/>
        </w:rPr>
      </w:pPr>
      <w:r>
        <w:rPr>
          <w:rFonts w:ascii="宋体" w:hAnsi="宋体" w:eastAsia="宋体"/>
          <w:color w:val="auto"/>
          <w:highlight w:val="none"/>
        </w:rPr>
        <w:t>55kW以上低压鼠笼电机采用软启动器，</w:t>
      </w:r>
    </w:p>
    <w:p>
      <w:pPr>
        <w:pStyle w:val="50"/>
        <w:ind w:firstLine="2040" w:firstLineChars="850"/>
        <w:rPr>
          <w:rFonts w:hint="eastAsia" w:ascii="宋体" w:hAnsi="宋体" w:eastAsia="宋体"/>
          <w:color w:val="auto"/>
          <w:highlight w:val="none"/>
        </w:rPr>
      </w:pPr>
      <w:r>
        <w:rPr>
          <w:rFonts w:ascii="宋体" w:hAnsi="宋体" w:eastAsia="宋体"/>
          <w:color w:val="auto"/>
          <w:highlight w:val="none"/>
        </w:rPr>
        <w:t>其它鼠笼型电动机采用全压直接启动方式。</w:t>
      </w:r>
    </w:p>
    <w:p>
      <w:pPr>
        <w:pStyle w:val="50"/>
        <w:ind w:firstLine="720" w:firstLineChars="300"/>
        <w:rPr>
          <w:rFonts w:hint="eastAsia" w:ascii="宋体" w:hAnsi="宋体" w:eastAsia="宋体"/>
          <w:color w:val="auto"/>
          <w:highlight w:val="none"/>
        </w:rPr>
      </w:pPr>
      <w:r>
        <w:rPr>
          <w:rFonts w:hint="eastAsia" w:ascii="宋体" w:hAnsi="宋体" w:eastAsia="宋体"/>
          <w:color w:val="auto"/>
          <w:highlight w:val="none"/>
        </w:rPr>
        <w:t>绝缘等级：    “F”</w:t>
      </w:r>
    </w:p>
    <w:p>
      <w:pPr>
        <w:pStyle w:val="50"/>
        <w:ind w:firstLine="720" w:firstLineChars="300"/>
        <w:rPr>
          <w:rFonts w:hint="eastAsia" w:ascii="宋体" w:hAnsi="宋体" w:eastAsia="宋体"/>
          <w:color w:val="auto"/>
          <w:highlight w:val="none"/>
        </w:rPr>
      </w:pPr>
      <w:r>
        <w:rPr>
          <w:rFonts w:hint="eastAsia" w:ascii="宋体" w:hAnsi="宋体" w:eastAsia="宋体"/>
          <w:color w:val="auto"/>
          <w:highlight w:val="none"/>
        </w:rPr>
        <w:t>温升等级：   限制为“B”级</w:t>
      </w:r>
    </w:p>
    <w:p>
      <w:pPr>
        <w:pStyle w:val="50"/>
        <w:ind w:firstLine="720" w:firstLineChars="300"/>
        <w:rPr>
          <w:rFonts w:hint="eastAsia" w:ascii="宋体" w:hAnsi="宋体" w:eastAsia="宋体"/>
          <w:color w:val="auto"/>
          <w:highlight w:val="none"/>
        </w:rPr>
      </w:pPr>
      <w:r>
        <w:rPr>
          <w:rFonts w:hint="eastAsia" w:ascii="宋体" w:hAnsi="宋体" w:eastAsia="宋体"/>
          <w:color w:val="auto"/>
          <w:highlight w:val="none"/>
        </w:rPr>
        <w:t>防护等级：   IP54</w:t>
      </w:r>
    </w:p>
    <w:p>
      <w:pPr>
        <w:pStyle w:val="50"/>
        <w:ind w:firstLine="720" w:firstLineChars="300"/>
        <w:rPr>
          <w:rFonts w:hint="eastAsia" w:ascii="宋体" w:hAnsi="宋体" w:eastAsia="宋体"/>
          <w:color w:val="auto"/>
          <w:highlight w:val="none"/>
        </w:rPr>
      </w:pPr>
      <w:r>
        <w:rPr>
          <w:rFonts w:hint="eastAsia" w:ascii="宋体" w:hAnsi="宋体" w:eastAsia="宋体"/>
          <w:color w:val="auto"/>
          <w:highlight w:val="none"/>
        </w:rPr>
        <w:t>冷却方式：   工频电机IC411，变频电机IC416.</w:t>
      </w:r>
    </w:p>
    <w:p>
      <w:pPr>
        <w:pStyle w:val="50"/>
        <w:ind w:firstLine="720" w:firstLineChars="300"/>
        <w:rPr>
          <w:rFonts w:hint="eastAsia" w:ascii="宋体" w:hAnsi="宋体" w:eastAsia="宋体"/>
          <w:color w:val="auto"/>
          <w:highlight w:val="none"/>
        </w:rPr>
      </w:pPr>
      <w:r>
        <w:rPr>
          <w:rFonts w:hint="eastAsia" w:ascii="宋体" w:hAnsi="宋体" w:eastAsia="宋体"/>
          <w:color w:val="auto"/>
          <w:highlight w:val="none"/>
        </w:rPr>
        <w:t>其它条件和要求详见商务标的技术要求部分。</w:t>
      </w:r>
    </w:p>
    <w:bookmarkEnd w:id="5"/>
    <w:p>
      <w:pPr>
        <w:pStyle w:val="3"/>
        <w:rPr>
          <w:rFonts w:hint="eastAsia"/>
          <w:color w:val="auto"/>
          <w:highlight w:val="none"/>
        </w:rPr>
      </w:pPr>
      <w:bookmarkStart w:id="8" w:name="_Toc46774767"/>
      <w:r>
        <w:rPr>
          <w:rFonts w:ascii="宋体" w:hAnsi="宋体" w:eastAsia="宋体"/>
          <w:color w:val="auto"/>
          <w:highlight w:val="none"/>
        </w:rPr>
        <w:t>2.</w:t>
      </w:r>
      <w:r>
        <w:rPr>
          <w:rFonts w:hint="eastAsia" w:ascii="宋体" w:hAnsi="宋体" w:eastAsia="宋体"/>
          <w:color w:val="auto"/>
          <w:highlight w:val="none"/>
        </w:rPr>
        <w:t>3卖方应提供的技术参数表（格式）</w:t>
      </w:r>
      <w:bookmarkEnd w:id="8"/>
    </w:p>
    <w:tbl>
      <w:tblPr>
        <w:tblStyle w:val="53"/>
        <w:tblW w:w="998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420"/>
        <w:gridCol w:w="2520"/>
        <w:gridCol w:w="2140"/>
        <w:gridCol w:w="700"/>
        <w:gridCol w:w="820"/>
        <w:gridCol w:w="860"/>
        <w:gridCol w:w="914"/>
        <w:gridCol w:w="11"/>
        <w:gridCol w:w="159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9983" w:type="dxa"/>
            <w:gridSpan w:val="9"/>
            <w:noWrap w:val="0"/>
            <w:vAlign w:val="center"/>
          </w:tcPr>
          <w:p>
            <w:pPr>
              <w:widowControl/>
              <w:adjustRightInd/>
              <w:snapToGrid/>
              <w:spacing w:line="240" w:lineRule="auto"/>
              <w:jc w:val="left"/>
              <w:rPr>
                <w:rFonts w:ascii="宋体" w:hAnsi="宋体" w:cs="宋体"/>
                <w:color w:val="auto"/>
                <w:sz w:val="20"/>
                <w:highlight w:val="none"/>
              </w:rPr>
            </w:pPr>
            <w:r>
              <w:rPr>
                <w:rFonts w:hint="eastAsia" w:ascii="宋体" w:hAnsi="宋体" w:cs="宋体"/>
                <w:color w:val="auto"/>
                <w:sz w:val="20"/>
                <w:highlight w:val="none"/>
              </w:rPr>
              <w:t>设备编号：      DTⅡ</w:t>
            </w:r>
            <w:r>
              <w:rPr>
                <w:rFonts w:hint="eastAsia" w:ascii="宋体" w:hAnsi="宋体" w:cs="宋体"/>
                <w:color w:val="auto"/>
                <w:sz w:val="20"/>
                <w:highlight w:val="none"/>
                <w:lang w:eastAsia="zh-CN"/>
              </w:rPr>
              <w:t>（</w:t>
            </w:r>
            <w:r>
              <w:rPr>
                <w:rFonts w:hint="eastAsia" w:ascii="宋体" w:hAnsi="宋体" w:cs="宋体"/>
                <w:color w:val="auto"/>
                <w:sz w:val="20"/>
                <w:highlight w:val="none"/>
                <w:lang w:val="en-US" w:eastAsia="zh-CN"/>
              </w:rPr>
              <w:t>A</w:t>
            </w:r>
            <w:r>
              <w:rPr>
                <w:rFonts w:hint="eastAsia" w:ascii="宋体" w:hAnsi="宋体" w:cs="宋体"/>
                <w:color w:val="auto"/>
                <w:sz w:val="20"/>
                <w:highlight w:val="none"/>
                <w:lang w:eastAsia="zh-CN"/>
              </w:rPr>
              <w:t>）</w:t>
            </w:r>
            <w:r>
              <w:rPr>
                <w:rFonts w:hint="eastAsia" w:ascii="宋体" w:hAnsi="宋体" w:cs="宋体"/>
                <w:color w:val="auto"/>
                <w:sz w:val="20"/>
                <w:highlight w:val="none"/>
              </w:rPr>
              <w:t xml:space="preserve">型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主要技术参数</w:t>
            </w: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物料</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380"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倾角</w:t>
            </w:r>
          </w:p>
        </w:tc>
        <w:tc>
          <w:tcPr>
            <w:tcW w:w="2523"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容量</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380"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提升高度</w:t>
            </w:r>
          </w:p>
        </w:tc>
        <w:tc>
          <w:tcPr>
            <w:tcW w:w="2523"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粒度(mm)</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380"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驱动功率</w:t>
            </w:r>
          </w:p>
        </w:tc>
        <w:tc>
          <w:tcPr>
            <w:tcW w:w="2523"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额定</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最大</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输送量</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380"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胶带规格</w:t>
            </w:r>
          </w:p>
        </w:tc>
        <w:tc>
          <w:tcPr>
            <w:tcW w:w="2523"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带宽</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380"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拉紧形式</w:t>
            </w:r>
          </w:p>
        </w:tc>
        <w:tc>
          <w:tcPr>
            <w:tcW w:w="2523"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带速</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380"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单机重量</w:t>
            </w:r>
          </w:p>
        </w:tc>
        <w:tc>
          <w:tcPr>
            <w:tcW w:w="2523"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水平机长</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380"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数量</w:t>
            </w:r>
          </w:p>
        </w:tc>
        <w:tc>
          <w:tcPr>
            <w:tcW w:w="2523"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ascii="宋体" w:hAnsi="宋体" w:eastAsia="宋体"/>
                <w:color w:val="auto"/>
                <w:w w:val="80"/>
                <w:kern w:val="0"/>
                <w:sz w:val="21"/>
                <w:szCs w:val="21"/>
                <w:highlight w:val="none"/>
              </w:rPr>
              <w:t>1</w:t>
            </w:r>
            <w:r>
              <w:rPr>
                <w:rFonts w:hint="eastAsia" w:ascii="宋体" w:hAnsi="宋体" w:eastAsia="宋体"/>
                <w:color w:val="auto"/>
                <w:w w:val="80"/>
                <w:kern w:val="0"/>
                <w:sz w:val="21"/>
                <w:szCs w:val="21"/>
                <w:highlight w:val="none"/>
              </w:rPr>
              <w:t>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2940" w:type="dxa"/>
            <w:gridSpan w:val="2"/>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部件名称</w:t>
            </w:r>
          </w:p>
        </w:tc>
        <w:tc>
          <w:tcPr>
            <w:tcW w:w="214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规格代号</w:t>
            </w:r>
          </w:p>
        </w:tc>
        <w:tc>
          <w:tcPr>
            <w:tcW w:w="70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数量</w:t>
            </w:r>
          </w:p>
        </w:tc>
        <w:tc>
          <w:tcPr>
            <w:tcW w:w="1680" w:type="dxa"/>
            <w:gridSpan w:val="2"/>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重量</w:t>
            </w:r>
            <w:r>
              <w:rPr>
                <w:rFonts w:ascii="宋体" w:hAnsi="宋体" w:eastAsia="宋体"/>
                <w:color w:val="auto"/>
                <w:w w:val="80"/>
                <w:kern w:val="0"/>
                <w:sz w:val="21"/>
                <w:szCs w:val="21"/>
                <w:highlight w:val="none"/>
              </w:rPr>
              <w:t>(kg)</w:t>
            </w:r>
          </w:p>
        </w:tc>
        <w:tc>
          <w:tcPr>
            <w:tcW w:w="2523"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价格</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元</w:t>
            </w:r>
            <w:r>
              <w:rPr>
                <w:rFonts w:ascii="宋体" w:hAnsi="宋体" w:eastAsia="宋体"/>
                <w:color w:val="auto"/>
                <w:w w:val="80"/>
                <w:kern w:val="0"/>
                <w:sz w:val="21"/>
                <w:szCs w:val="21"/>
                <w:highlight w:val="none"/>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2940" w:type="dxa"/>
            <w:gridSpan w:val="2"/>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14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单重</w:t>
            </w: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总重</w:t>
            </w: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单价</w:t>
            </w:r>
          </w:p>
        </w:tc>
        <w:tc>
          <w:tcPr>
            <w:tcW w:w="1609" w:type="dxa"/>
            <w:gridSpan w:val="2"/>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总价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驱动装置</w:t>
            </w: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 xml:space="preserve">电动机 </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减速器(带逆止器)</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 xml:space="preserve">液力偶合器 </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制动器</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弹性齿式联轴器</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液力耦合器护罩</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制动器护罩</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弹性齿式联轴器护罩</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驱装架</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滚筒组</w:t>
            </w: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传动滚筒</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铸人字胶</w:t>
            </w:r>
            <w:r>
              <w:rPr>
                <w:rFonts w:ascii="宋体" w:hAnsi="宋体" w:eastAsia="宋体"/>
                <w:color w:val="auto"/>
                <w:w w:val="80"/>
                <w:kern w:val="0"/>
                <w:sz w:val="21"/>
                <w:szCs w:val="21"/>
                <w:highlight w:val="none"/>
              </w:rPr>
              <w:t>)   D=</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改向滚筒</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铸胶</w:t>
            </w:r>
            <w:r>
              <w:rPr>
                <w:rFonts w:ascii="宋体" w:hAnsi="宋体" w:eastAsia="宋体"/>
                <w:color w:val="auto"/>
                <w:w w:val="80"/>
                <w:kern w:val="0"/>
                <w:sz w:val="21"/>
                <w:szCs w:val="21"/>
                <w:highlight w:val="none"/>
              </w:rPr>
              <w:t>)   D=</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改向滚筒</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铸胶</w:t>
            </w:r>
            <w:r>
              <w:rPr>
                <w:rFonts w:ascii="宋体" w:hAnsi="宋体" w:eastAsia="宋体"/>
                <w:color w:val="auto"/>
                <w:w w:val="80"/>
                <w:kern w:val="0"/>
                <w:sz w:val="21"/>
                <w:szCs w:val="21"/>
                <w:highlight w:val="none"/>
              </w:rPr>
              <w:t>)   D=</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改向滚筒</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铸胶</w:t>
            </w:r>
            <w:r>
              <w:rPr>
                <w:rFonts w:ascii="宋体" w:hAnsi="宋体" w:eastAsia="宋体"/>
                <w:color w:val="auto"/>
                <w:w w:val="80"/>
                <w:kern w:val="0"/>
                <w:sz w:val="21"/>
                <w:szCs w:val="21"/>
                <w:highlight w:val="none"/>
              </w:rPr>
              <w:t>)   D=</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托辊组</w:t>
            </w: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过渡托辊组</w:t>
            </w:r>
            <w:r>
              <w:rPr>
                <w:rFonts w:ascii="宋体" w:hAnsi="宋体" w:eastAsia="宋体"/>
                <w:color w:val="auto"/>
                <w:w w:val="80"/>
                <w:kern w:val="0"/>
                <w:sz w:val="21"/>
                <w:szCs w:val="21"/>
                <w:highlight w:val="none"/>
              </w:rPr>
              <w:t>10°  D</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过渡托辊组2</w:t>
            </w:r>
            <w:r>
              <w:rPr>
                <w:rFonts w:ascii="宋体" w:hAnsi="宋体" w:eastAsia="宋体"/>
                <w:color w:val="auto"/>
                <w:w w:val="80"/>
                <w:kern w:val="0"/>
                <w:sz w:val="21"/>
                <w:szCs w:val="21"/>
                <w:highlight w:val="none"/>
              </w:rPr>
              <w:t>0°  D</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缓冲托辊组 35° D</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槽型</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前倾</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托辊组</w:t>
            </w:r>
            <w:r>
              <w:rPr>
                <w:rFonts w:ascii="宋体" w:hAnsi="宋体" w:eastAsia="宋体"/>
                <w:color w:val="auto"/>
                <w:w w:val="80"/>
                <w:kern w:val="0"/>
                <w:sz w:val="21"/>
                <w:szCs w:val="21"/>
                <w:highlight w:val="none"/>
              </w:rPr>
              <w:t xml:space="preserve"> 35° D</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锥形上调心托辊组</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平形下托辊组</w:t>
            </w:r>
            <w:r>
              <w:rPr>
                <w:rFonts w:ascii="宋体" w:hAnsi="宋体" w:eastAsia="宋体"/>
                <w:color w:val="auto"/>
                <w:w w:val="80"/>
                <w:kern w:val="0"/>
                <w:sz w:val="21"/>
                <w:szCs w:val="21"/>
                <w:highlight w:val="none"/>
              </w:rPr>
              <w:t xml:space="preserve">  D</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螺旋托辊组  D</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锥形下调心托辊组</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清扫器</w:t>
            </w: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空段清扫器</w:t>
            </w:r>
          </w:p>
        </w:tc>
        <w:tc>
          <w:tcPr>
            <w:tcW w:w="214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一级</w:t>
            </w:r>
            <w:r>
              <w:rPr>
                <w:rFonts w:hint="eastAsia" w:ascii="宋体" w:hAnsi="宋体" w:eastAsia="宋体"/>
                <w:strike/>
                <w:dstrike w:val="0"/>
                <w:color w:val="auto"/>
                <w:w w:val="80"/>
                <w:kern w:val="0"/>
                <w:sz w:val="21"/>
                <w:szCs w:val="21"/>
                <w:highlight w:val="none"/>
              </w:rPr>
              <w:t>合金</w:t>
            </w:r>
            <w:r>
              <w:rPr>
                <w:rFonts w:hint="eastAsia" w:ascii="宋体" w:hAnsi="宋体" w:eastAsia="宋体"/>
                <w:color w:val="auto"/>
                <w:w w:val="80"/>
                <w:kern w:val="0"/>
                <w:sz w:val="21"/>
                <w:szCs w:val="21"/>
                <w:highlight w:val="none"/>
              </w:rPr>
              <w:t xml:space="preserve">清扫器   </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二级</w:t>
            </w:r>
            <w:r>
              <w:rPr>
                <w:rFonts w:hint="eastAsia" w:ascii="宋体" w:hAnsi="宋体" w:eastAsia="宋体"/>
                <w:strike/>
                <w:dstrike w:val="0"/>
                <w:color w:val="auto"/>
                <w:w w:val="80"/>
                <w:kern w:val="0"/>
                <w:sz w:val="21"/>
                <w:szCs w:val="21"/>
                <w:highlight w:val="none"/>
              </w:rPr>
              <w:t>合金橡胶</w:t>
            </w:r>
            <w:r>
              <w:rPr>
                <w:rFonts w:hint="eastAsia" w:ascii="宋体" w:hAnsi="宋体" w:eastAsia="宋体"/>
                <w:color w:val="auto"/>
                <w:w w:val="80"/>
                <w:kern w:val="0"/>
                <w:sz w:val="21"/>
                <w:szCs w:val="21"/>
                <w:highlight w:val="none"/>
              </w:rPr>
              <w:t>清扫器</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ign w:val="center"/>
          </w:tcPr>
          <w:p>
            <w:pPr>
              <w:widowControl/>
              <w:adjustRightInd/>
              <w:snapToGrid/>
              <w:spacing w:line="240" w:lineRule="auto"/>
              <w:rPr>
                <w:rFonts w:hint="eastAsia"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三级</w:t>
            </w:r>
            <w:r>
              <w:rPr>
                <w:rFonts w:hint="eastAsia" w:ascii="宋体" w:hAnsi="宋体" w:eastAsia="宋体"/>
                <w:strike/>
                <w:dstrike w:val="0"/>
                <w:color w:val="auto"/>
                <w:w w:val="80"/>
                <w:kern w:val="0"/>
                <w:sz w:val="21"/>
                <w:szCs w:val="21"/>
                <w:highlight w:val="none"/>
              </w:rPr>
              <w:t>压缩空气</w:t>
            </w:r>
            <w:r>
              <w:rPr>
                <w:rFonts w:hint="eastAsia" w:ascii="宋体" w:hAnsi="宋体" w:eastAsia="宋体"/>
                <w:color w:val="auto"/>
                <w:w w:val="80"/>
                <w:kern w:val="0"/>
                <w:sz w:val="21"/>
                <w:szCs w:val="21"/>
                <w:highlight w:val="none"/>
              </w:rPr>
              <w:t>清扫器</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hint="eastAsia"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hint="eastAsia"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hint="eastAsia"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hint="eastAsia"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hint="eastAsia"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拉紧装置</w:t>
            </w: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垂直重锤拉紧装置支架或其它</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垂直重锤拉紧装置或其它</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重锤块或其它</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重垂护栅或其它</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垂直拉紧装置滚筒遮栏或其它</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支架</w:t>
            </w: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头架</w:t>
            </w:r>
            <w:r>
              <w:rPr>
                <w:rFonts w:ascii="宋体" w:hAnsi="宋体" w:eastAsia="宋体"/>
                <w:color w:val="auto"/>
                <w:w w:val="80"/>
                <w:kern w:val="0"/>
                <w:sz w:val="21"/>
                <w:szCs w:val="21"/>
                <w:highlight w:val="none"/>
              </w:rPr>
              <w:t xml:space="preserve">   </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尾架</w:t>
            </w:r>
            <w:r>
              <w:rPr>
                <w:rFonts w:ascii="宋体" w:hAnsi="宋体" w:eastAsia="宋体"/>
                <w:color w:val="auto"/>
                <w:w w:val="80"/>
                <w:kern w:val="0"/>
                <w:sz w:val="21"/>
                <w:szCs w:val="21"/>
                <w:highlight w:val="none"/>
              </w:rPr>
              <w:t xml:space="preserve">  </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中间架</w:t>
            </w:r>
            <w:r>
              <w:rPr>
                <w:rFonts w:ascii="宋体" w:hAnsi="宋体" w:eastAsia="宋体"/>
                <w:color w:val="auto"/>
                <w:w w:val="80"/>
                <w:kern w:val="0"/>
                <w:sz w:val="21"/>
                <w:szCs w:val="21"/>
                <w:highlight w:val="none"/>
              </w:rPr>
              <w:t xml:space="preserve">     L=</w:t>
            </w:r>
            <w:r>
              <w:rPr>
                <w:rFonts w:hint="eastAsia" w:ascii="宋体" w:hAnsi="宋体" w:eastAsia="宋体"/>
                <w:color w:val="auto"/>
                <w:w w:val="80"/>
                <w:kern w:val="0"/>
                <w:sz w:val="21"/>
                <w:szCs w:val="21"/>
                <w:highlight w:val="none"/>
              </w:rPr>
              <w:t xml:space="preserve">   </w:t>
            </w:r>
            <w:r>
              <w:rPr>
                <w:rFonts w:ascii="宋体" w:hAnsi="宋体" w:eastAsia="宋体"/>
                <w:color w:val="auto"/>
                <w:w w:val="80"/>
                <w:kern w:val="0"/>
                <w:sz w:val="21"/>
                <w:szCs w:val="21"/>
                <w:highlight w:val="none"/>
              </w:rPr>
              <w:t>m</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中间架支腿</w:t>
            </w:r>
            <w:r>
              <w:rPr>
                <w:rFonts w:ascii="宋体" w:hAnsi="宋体" w:eastAsia="宋体"/>
                <w:color w:val="auto"/>
                <w:w w:val="80"/>
                <w:kern w:val="0"/>
                <w:sz w:val="21"/>
                <w:szCs w:val="21"/>
                <w:highlight w:val="none"/>
              </w:rPr>
              <w:t xml:space="preserve">  </w:t>
            </w:r>
            <w:r>
              <w:rPr>
                <w:rFonts w:hint="eastAsia" w:ascii="宋体" w:hAnsi="宋体" w:eastAsia="宋体"/>
                <w:color w:val="auto"/>
                <w:w w:val="80"/>
                <w:kern w:val="0"/>
                <w:sz w:val="21"/>
                <w:szCs w:val="21"/>
                <w:highlight w:val="none"/>
              </w:rPr>
              <w:t>Ⅰ</w:t>
            </w:r>
            <w:r>
              <w:rPr>
                <w:rFonts w:ascii="宋体" w:hAnsi="宋体" w:eastAsia="宋体"/>
                <w:color w:val="auto"/>
                <w:w w:val="80"/>
                <w:kern w:val="0"/>
                <w:sz w:val="21"/>
                <w:szCs w:val="21"/>
                <w:highlight w:val="none"/>
              </w:rPr>
              <w:t xml:space="preserve">  H=</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中间架支腿</w:t>
            </w:r>
            <w:r>
              <w:rPr>
                <w:rFonts w:ascii="宋体" w:hAnsi="宋体" w:eastAsia="宋体"/>
                <w:color w:val="auto"/>
                <w:w w:val="80"/>
                <w:kern w:val="0"/>
                <w:sz w:val="21"/>
                <w:szCs w:val="21"/>
                <w:highlight w:val="none"/>
              </w:rPr>
              <w:t xml:space="preserve">  </w:t>
            </w:r>
            <w:r>
              <w:rPr>
                <w:rFonts w:hint="eastAsia" w:ascii="宋体" w:hAnsi="宋体" w:eastAsia="宋体"/>
                <w:color w:val="auto"/>
                <w:w w:val="80"/>
                <w:kern w:val="0"/>
                <w:sz w:val="21"/>
                <w:szCs w:val="21"/>
                <w:highlight w:val="none"/>
              </w:rPr>
              <w:t>Ⅱ</w:t>
            </w:r>
            <w:r>
              <w:rPr>
                <w:rFonts w:ascii="宋体" w:hAnsi="宋体" w:eastAsia="宋体"/>
                <w:color w:val="auto"/>
                <w:w w:val="80"/>
                <w:kern w:val="0"/>
                <w:sz w:val="21"/>
                <w:szCs w:val="21"/>
                <w:highlight w:val="none"/>
              </w:rPr>
              <w:t xml:space="preserve">  H=</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头部漏斗（加装耐磨衬板）</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hint="eastAsia"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可调节挡料板（耐磨板衬板）</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导料槽前段</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导料槽中段（含入料溜槽）</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导料槽后段</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增面滚筒遮栏</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hint="eastAsia"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侧面防护罩网</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尾部护罩</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restart"/>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保护装置</w:t>
            </w: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双向拉线开关</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两级跑偏开关</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速度检测器</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vMerge w:val="continue"/>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2520" w:type="dxa"/>
            <w:noWrap w:val="0"/>
            <w:vAlign w:val="center"/>
          </w:tcPr>
          <w:p>
            <w:pPr>
              <w:widowControl/>
              <w:adjustRightInd/>
              <w:snapToGrid/>
              <w:spacing w:line="240" w:lineRule="auto"/>
              <w:rPr>
                <w:rFonts w:hint="eastAsia"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防撕裂装置</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14" w:type="dxa"/>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609"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　</w:t>
            </w: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防雨罩</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ascii="宋体" w:hAnsi="宋体" w:eastAsia="宋体"/>
                <w:color w:val="auto"/>
                <w:w w:val="80"/>
                <w:kern w:val="0"/>
                <w:sz w:val="21"/>
                <w:szCs w:val="21"/>
                <w:highlight w:val="none"/>
              </w:rPr>
              <w:t xml:space="preserve">B=    </w:t>
            </w:r>
            <w:r>
              <w:rPr>
                <w:rFonts w:hint="eastAsia" w:ascii="宋体" w:hAnsi="宋体" w:eastAsia="宋体"/>
                <w:color w:val="auto"/>
                <w:w w:val="80"/>
                <w:kern w:val="0"/>
                <w:sz w:val="21"/>
                <w:szCs w:val="21"/>
                <w:highlight w:val="none"/>
              </w:rPr>
              <w:t>单位：米</w:t>
            </w: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4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　</w:t>
            </w:r>
          </w:p>
        </w:tc>
        <w:tc>
          <w:tcPr>
            <w:tcW w:w="25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胶带</w:t>
            </w:r>
            <w:r>
              <w:rPr>
                <w:rFonts w:ascii="宋体" w:hAnsi="宋体" w:eastAsia="宋体"/>
                <w:color w:val="auto"/>
                <w:w w:val="80"/>
                <w:kern w:val="0"/>
                <w:sz w:val="21"/>
                <w:szCs w:val="21"/>
                <w:highlight w:val="none"/>
              </w:rPr>
              <w:t>(</w:t>
            </w:r>
            <w:r>
              <w:rPr>
                <w:rFonts w:hint="eastAsia" w:ascii="宋体" w:hAnsi="宋体" w:eastAsia="宋体"/>
                <w:color w:val="auto"/>
                <w:w w:val="80"/>
                <w:kern w:val="0"/>
                <w:sz w:val="21"/>
                <w:szCs w:val="21"/>
                <w:highlight w:val="none"/>
              </w:rPr>
              <w:t>米</w:t>
            </w:r>
            <w:r>
              <w:rPr>
                <w:rFonts w:ascii="宋体" w:hAnsi="宋体" w:eastAsia="宋体"/>
                <w:color w:val="auto"/>
                <w:w w:val="80"/>
                <w:kern w:val="0"/>
                <w:sz w:val="21"/>
                <w:szCs w:val="21"/>
                <w:highlight w:val="none"/>
              </w:rPr>
              <w:t xml:space="preserve">) </w:t>
            </w:r>
          </w:p>
        </w:tc>
        <w:tc>
          <w:tcPr>
            <w:tcW w:w="214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5080" w:type="dxa"/>
            <w:gridSpan w:val="3"/>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合</w:t>
            </w:r>
            <w:r>
              <w:rPr>
                <w:rFonts w:ascii="宋体" w:hAnsi="宋体" w:eastAsia="宋体"/>
                <w:color w:val="auto"/>
                <w:w w:val="80"/>
                <w:kern w:val="0"/>
                <w:sz w:val="21"/>
                <w:szCs w:val="21"/>
                <w:highlight w:val="none"/>
              </w:rPr>
              <w:t xml:space="preserve">                </w:t>
            </w:r>
            <w:r>
              <w:rPr>
                <w:rFonts w:hint="eastAsia" w:ascii="宋体" w:hAnsi="宋体" w:eastAsia="宋体"/>
                <w:color w:val="auto"/>
                <w:w w:val="80"/>
                <w:kern w:val="0"/>
                <w:sz w:val="21"/>
                <w:szCs w:val="21"/>
                <w:highlight w:val="none"/>
              </w:rPr>
              <w:t>计</w:t>
            </w:r>
          </w:p>
        </w:tc>
        <w:tc>
          <w:tcPr>
            <w:tcW w:w="70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　</w:t>
            </w:r>
          </w:p>
        </w:tc>
        <w:tc>
          <w:tcPr>
            <w:tcW w:w="82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r>
              <w:rPr>
                <w:rFonts w:hint="eastAsia" w:ascii="宋体" w:hAnsi="宋体" w:eastAsia="宋体"/>
                <w:color w:val="auto"/>
                <w:w w:val="80"/>
                <w:kern w:val="0"/>
                <w:sz w:val="21"/>
                <w:szCs w:val="21"/>
                <w:highlight w:val="none"/>
              </w:rPr>
              <w:t>　</w:t>
            </w:r>
          </w:p>
        </w:tc>
        <w:tc>
          <w:tcPr>
            <w:tcW w:w="860"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925" w:type="dxa"/>
            <w:gridSpan w:val="2"/>
            <w:noWrap w:val="0"/>
            <w:vAlign w:val="center"/>
          </w:tcPr>
          <w:p>
            <w:pPr>
              <w:widowControl/>
              <w:adjustRightInd/>
              <w:snapToGrid/>
              <w:spacing w:line="240" w:lineRule="auto"/>
              <w:rPr>
                <w:rFonts w:ascii="宋体" w:hAnsi="宋体" w:eastAsia="宋体"/>
                <w:color w:val="auto"/>
                <w:w w:val="80"/>
                <w:kern w:val="0"/>
                <w:sz w:val="21"/>
                <w:szCs w:val="21"/>
                <w:highlight w:val="none"/>
              </w:rPr>
            </w:pPr>
          </w:p>
        </w:tc>
        <w:tc>
          <w:tcPr>
            <w:tcW w:w="1598" w:type="dxa"/>
            <w:noWrap w:val="0"/>
            <w:vAlign w:val="center"/>
          </w:tcPr>
          <w:p>
            <w:pPr>
              <w:widowControl/>
              <w:adjustRightInd/>
              <w:snapToGrid/>
              <w:spacing w:line="240" w:lineRule="auto"/>
              <w:rPr>
                <w:rFonts w:ascii="宋体" w:hAnsi="宋体" w:eastAsia="宋体"/>
                <w:color w:val="auto"/>
                <w:w w:val="80"/>
                <w:kern w:val="0"/>
                <w:sz w:val="21"/>
                <w:szCs w:val="21"/>
                <w:highlight w:val="none"/>
              </w:rPr>
            </w:pPr>
          </w:p>
        </w:tc>
      </w:tr>
    </w:tbl>
    <w:p>
      <w:pPr>
        <w:pStyle w:val="4"/>
        <w:rPr>
          <w:rFonts w:hint="eastAsia"/>
          <w:color w:val="auto"/>
          <w:highlight w:val="none"/>
        </w:rPr>
      </w:pPr>
    </w:p>
    <w:p>
      <w:pPr>
        <w:pStyle w:val="2"/>
        <w:tabs>
          <w:tab w:val="clear" w:pos="360"/>
        </w:tabs>
        <w:ind w:left="0" w:firstLine="0"/>
        <w:rPr>
          <w:rFonts w:hint="eastAsia" w:ascii="宋体" w:hAnsi="宋体" w:eastAsia="宋体" w:cs="Arial"/>
          <w:bCs/>
          <w:color w:val="auto"/>
          <w:spacing w:val="16"/>
          <w:kern w:val="18"/>
          <w:szCs w:val="24"/>
          <w:highlight w:val="none"/>
        </w:rPr>
      </w:pPr>
      <w:bookmarkStart w:id="9" w:name="_Toc46774768"/>
      <w:r>
        <w:rPr>
          <w:rFonts w:hint="eastAsia" w:ascii="宋体" w:hAnsi="宋体" w:eastAsia="宋体" w:cs="Arial"/>
          <w:bCs/>
          <w:color w:val="auto"/>
          <w:spacing w:val="16"/>
          <w:kern w:val="18"/>
          <w:szCs w:val="24"/>
          <w:highlight w:val="none"/>
        </w:rPr>
        <w:t>供货范围</w:t>
      </w:r>
      <w:bookmarkEnd w:id="9"/>
    </w:p>
    <w:p>
      <w:pPr>
        <w:pStyle w:val="50"/>
        <w:ind w:left="120" w:leftChars="50" w:firstLine="21" w:firstLineChars="9"/>
        <w:rPr>
          <w:rFonts w:hint="eastAsia" w:ascii="宋体" w:hAnsi="宋体" w:eastAsia="宋体"/>
          <w:color w:val="auto"/>
          <w:highlight w:val="none"/>
        </w:rPr>
      </w:pPr>
      <w:r>
        <w:rPr>
          <w:rFonts w:hint="eastAsia" w:ascii="宋体" w:hAnsi="宋体" w:eastAsia="宋体"/>
          <w:color w:val="auto"/>
          <w:highlight w:val="none"/>
        </w:rPr>
        <w:t>3.1  胶带输送机主体：机架（含头架、</w:t>
      </w:r>
      <w:r>
        <w:rPr>
          <w:rFonts w:ascii="宋体" w:hAnsi="宋体" w:eastAsia="宋体"/>
          <w:color w:val="auto"/>
          <w:highlight w:val="none"/>
        </w:rPr>
        <w:t>中间架、尾架</w:t>
      </w:r>
      <w:r>
        <w:rPr>
          <w:rFonts w:hint="eastAsia" w:ascii="宋体" w:hAnsi="宋体" w:eastAsia="宋体"/>
          <w:color w:val="auto"/>
          <w:highlight w:val="none"/>
        </w:rPr>
        <w:t>），驱动装置（包括钢制构架、传动轮、导向轮、联轴器、电动机、减速器、制动器及其他辅助设备。</w:t>
      </w:r>
      <w:r>
        <w:rPr>
          <w:rFonts w:ascii="宋体" w:hAnsi="宋体" w:eastAsia="宋体"/>
          <w:color w:val="auto"/>
          <w:highlight w:val="none"/>
        </w:rPr>
        <w:t>滚筒组</w:t>
      </w:r>
      <w:r>
        <w:rPr>
          <w:rFonts w:hint="eastAsia" w:ascii="宋体" w:hAnsi="宋体" w:eastAsia="宋体"/>
          <w:color w:val="auto"/>
          <w:highlight w:val="none"/>
        </w:rPr>
        <w:t>，托辊架，</w:t>
      </w:r>
      <w:r>
        <w:rPr>
          <w:rFonts w:ascii="宋体" w:hAnsi="宋体" w:eastAsia="宋体"/>
          <w:color w:val="auto"/>
          <w:highlight w:val="none"/>
        </w:rPr>
        <w:t>托辊组</w:t>
      </w:r>
      <w:r>
        <w:rPr>
          <w:rFonts w:hint="eastAsia" w:ascii="宋体" w:hAnsi="宋体" w:eastAsia="宋体"/>
          <w:color w:val="auto"/>
          <w:highlight w:val="none"/>
        </w:rPr>
        <w:t>等。</w:t>
      </w:r>
    </w:p>
    <w:p>
      <w:pPr>
        <w:pStyle w:val="50"/>
        <w:ind w:firstLine="0" w:firstLineChars="0"/>
        <w:rPr>
          <w:rFonts w:hint="eastAsia" w:ascii="宋体" w:hAnsi="宋体" w:eastAsia="宋体"/>
          <w:color w:val="auto"/>
          <w:highlight w:val="none"/>
        </w:rPr>
      </w:pPr>
      <w:r>
        <w:rPr>
          <w:rFonts w:hint="eastAsia" w:ascii="宋体" w:hAnsi="宋体" w:eastAsia="宋体"/>
          <w:color w:val="auto"/>
          <w:highlight w:val="none"/>
        </w:rPr>
        <w:t>3.2  附属装置：包</w:t>
      </w:r>
      <w:r>
        <w:rPr>
          <w:rFonts w:ascii="宋体" w:hAnsi="宋体" w:eastAsia="宋体"/>
          <w:color w:val="auto"/>
          <w:highlight w:val="none"/>
        </w:rPr>
        <w:t>括导料槽</w:t>
      </w:r>
      <w:r>
        <w:rPr>
          <w:rFonts w:hint="eastAsia" w:ascii="宋体" w:hAnsi="宋体" w:eastAsia="宋体"/>
          <w:color w:val="auto"/>
          <w:highlight w:val="none"/>
        </w:rPr>
        <w:t>，</w:t>
      </w:r>
      <w:r>
        <w:rPr>
          <w:rFonts w:ascii="宋体" w:hAnsi="宋体" w:eastAsia="宋体"/>
          <w:color w:val="auto"/>
          <w:highlight w:val="none"/>
        </w:rPr>
        <w:t>清扫器</w:t>
      </w:r>
      <w:r>
        <w:rPr>
          <w:rFonts w:hint="eastAsia" w:ascii="宋体" w:hAnsi="宋体" w:eastAsia="宋体"/>
          <w:color w:val="auto"/>
          <w:highlight w:val="none"/>
        </w:rPr>
        <w:t>，</w:t>
      </w:r>
      <w:r>
        <w:rPr>
          <w:rFonts w:ascii="宋体" w:hAnsi="宋体" w:eastAsia="宋体"/>
          <w:color w:val="auto"/>
          <w:highlight w:val="none"/>
        </w:rPr>
        <w:t>拉紧装置</w:t>
      </w:r>
      <w:r>
        <w:rPr>
          <w:rFonts w:hint="eastAsia" w:ascii="宋体" w:hAnsi="宋体" w:eastAsia="宋体"/>
          <w:color w:val="auto"/>
          <w:highlight w:val="none"/>
        </w:rPr>
        <w:t>（含配重块等），拉绳开关（配套提供拉绳），跑偏开关,速度监测器，头部防尘罩（含防尘挂帘、衬板），户外皮带机含防雨罩,安全</w:t>
      </w:r>
      <w:r>
        <w:rPr>
          <w:rFonts w:ascii="宋体" w:hAnsi="宋体" w:eastAsia="宋体"/>
          <w:color w:val="auto"/>
          <w:highlight w:val="none"/>
        </w:rPr>
        <w:t>防护罩</w:t>
      </w:r>
      <w:r>
        <w:rPr>
          <w:rFonts w:hint="eastAsia" w:ascii="宋体" w:hAnsi="宋体" w:eastAsia="宋体"/>
          <w:color w:val="auto"/>
          <w:highlight w:val="none"/>
        </w:rPr>
        <w:t>，安装调试期间随机备品备件，随机专用工具，</w:t>
      </w:r>
      <w:r>
        <w:rPr>
          <w:rFonts w:ascii="宋体" w:hAnsi="宋体" w:eastAsia="宋体"/>
          <w:color w:val="auto"/>
          <w:highlight w:val="none"/>
        </w:rPr>
        <w:t>其它结构件及图纸中包括的其它部件，</w:t>
      </w:r>
      <w:r>
        <w:rPr>
          <w:rFonts w:hint="eastAsia" w:ascii="宋体" w:hAnsi="宋体" w:eastAsia="宋体"/>
          <w:color w:val="auto"/>
          <w:highlight w:val="none"/>
        </w:rPr>
        <w:t>最终</w:t>
      </w:r>
      <w:r>
        <w:rPr>
          <w:rFonts w:ascii="宋体" w:hAnsi="宋体" w:eastAsia="宋体"/>
          <w:color w:val="auto"/>
          <w:highlight w:val="none"/>
        </w:rPr>
        <w:t>以买方确认为准。</w:t>
      </w:r>
    </w:p>
    <w:p>
      <w:pPr>
        <w:pStyle w:val="50"/>
        <w:ind w:firstLine="0" w:firstLineChars="0"/>
        <w:rPr>
          <w:rFonts w:hint="eastAsia" w:ascii="宋体" w:hAnsi="宋体" w:eastAsia="宋体"/>
          <w:color w:val="auto"/>
          <w:highlight w:val="none"/>
        </w:rPr>
      </w:pPr>
      <w:r>
        <w:rPr>
          <w:rFonts w:hint="eastAsia" w:ascii="宋体" w:hAnsi="宋体" w:eastAsia="宋体"/>
          <w:color w:val="auto"/>
          <w:highlight w:val="none"/>
        </w:rPr>
        <w:t>3.</w:t>
      </w:r>
      <w:r>
        <w:rPr>
          <w:rFonts w:ascii="宋体" w:hAnsi="宋体" w:eastAsia="宋体"/>
          <w:color w:val="auto"/>
          <w:highlight w:val="none"/>
        </w:rPr>
        <w:t>3</w:t>
      </w:r>
      <w:r>
        <w:rPr>
          <w:rFonts w:hint="eastAsia" w:ascii="宋体" w:hAnsi="宋体" w:eastAsia="宋体"/>
          <w:color w:val="auto"/>
          <w:highlight w:val="none"/>
        </w:rPr>
        <w:t xml:space="preserve">  以上供货范围保证设备的成套及完整性,满足现场安装、调试和生产需要。</w:t>
      </w:r>
    </w:p>
    <w:p>
      <w:pPr>
        <w:rPr>
          <w:rFonts w:hint="eastAsia"/>
          <w:color w:val="auto"/>
          <w:highlight w:val="none"/>
        </w:rPr>
      </w:pPr>
      <w:r>
        <w:rPr>
          <w:rFonts w:hint="eastAsia" w:ascii="宋体" w:hAnsi="宋体" w:eastAsia="宋体"/>
          <w:color w:val="auto"/>
          <w:highlight w:val="none"/>
        </w:rPr>
        <w:t>3.</w:t>
      </w:r>
      <w:r>
        <w:rPr>
          <w:rFonts w:ascii="宋体" w:hAnsi="宋体" w:eastAsia="宋体"/>
          <w:color w:val="auto"/>
          <w:highlight w:val="none"/>
        </w:rPr>
        <w:t>4</w:t>
      </w:r>
      <w:r>
        <w:rPr>
          <w:rFonts w:hint="eastAsia" w:ascii="宋体" w:hAnsi="宋体" w:eastAsia="宋体"/>
          <w:color w:val="auto"/>
          <w:kern w:val="18"/>
          <w:szCs w:val="24"/>
          <w:highlight w:val="none"/>
        </w:rPr>
        <w:t>性能保证：</w:t>
      </w:r>
    </w:p>
    <w:tbl>
      <w:tblPr>
        <w:tblStyle w:val="53"/>
        <w:tblW w:w="949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60"/>
        <w:gridCol w:w="2409"/>
        <w:gridCol w:w="552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560" w:type="dxa"/>
            <w:noWrap w:val="0"/>
            <w:vAlign w:val="center"/>
          </w:tcPr>
          <w:p>
            <w:pPr>
              <w:kinsoku w:val="0"/>
              <w:spacing w:line="240" w:lineRule="auto"/>
              <w:ind w:left="480" w:leftChars="200" w:right="29"/>
              <w:rPr>
                <w:rFonts w:ascii="宋体" w:hAnsi="宋体" w:eastAsia="宋体"/>
                <w:color w:val="auto"/>
                <w:kern w:val="18"/>
                <w:szCs w:val="24"/>
                <w:highlight w:val="none"/>
              </w:rPr>
            </w:pPr>
            <w:r>
              <w:rPr>
                <w:rFonts w:hint="eastAsia" w:ascii="宋体" w:hAnsi="宋体" w:eastAsia="宋体"/>
                <w:color w:val="auto"/>
                <w:kern w:val="18"/>
                <w:szCs w:val="24"/>
                <w:highlight w:val="none"/>
              </w:rPr>
              <w:t>序号</w:t>
            </w:r>
          </w:p>
        </w:tc>
        <w:tc>
          <w:tcPr>
            <w:tcW w:w="2409" w:type="dxa"/>
            <w:noWrap w:val="0"/>
            <w:vAlign w:val="center"/>
          </w:tcPr>
          <w:p>
            <w:pPr>
              <w:kinsoku w:val="0"/>
              <w:spacing w:line="240" w:lineRule="auto"/>
              <w:ind w:left="480" w:leftChars="200" w:right="29"/>
              <w:rPr>
                <w:rFonts w:ascii="宋体" w:hAnsi="宋体" w:eastAsia="宋体"/>
                <w:color w:val="auto"/>
                <w:kern w:val="18"/>
                <w:szCs w:val="24"/>
                <w:highlight w:val="none"/>
              </w:rPr>
            </w:pPr>
            <w:r>
              <w:rPr>
                <w:rFonts w:hint="eastAsia" w:ascii="宋体" w:hAnsi="宋体" w:eastAsia="宋体"/>
                <w:color w:val="auto"/>
                <w:kern w:val="18"/>
                <w:szCs w:val="24"/>
                <w:highlight w:val="none"/>
              </w:rPr>
              <w:t>名称</w:t>
            </w:r>
          </w:p>
        </w:tc>
        <w:tc>
          <w:tcPr>
            <w:tcW w:w="5529"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保证指标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560"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1</w:t>
            </w:r>
          </w:p>
        </w:tc>
        <w:tc>
          <w:tcPr>
            <w:tcW w:w="2409" w:type="dxa"/>
            <w:noWrap w:val="0"/>
            <w:vAlign w:val="center"/>
          </w:tcPr>
          <w:p>
            <w:pPr>
              <w:kinsoku w:val="0"/>
              <w:spacing w:line="240" w:lineRule="auto"/>
              <w:ind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托辊的寿命</w:t>
            </w:r>
          </w:p>
        </w:tc>
        <w:tc>
          <w:tcPr>
            <w:tcW w:w="5529"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＞30000小时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560"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2</w:t>
            </w:r>
          </w:p>
        </w:tc>
        <w:tc>
          <w:tcPr>
            <w:tcW w:w="2409" w:type="dxa"/>
            <w:noWrap w:val="0"/>
            <w:vAlign w:val="center"/>
          </w:tcPr>
          <w:p>
            <w:pPr>
              <w:kinsoku w:val="0"/>
              <w:spacing w:line="240" w:lineRule="auto"/>
              <w:ind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减速机的寿命</w:t>
            </w:r>
          </w:p>
        </w:tc>
        <w:tc>
          <w:tcPr>
            <w:tcW w:w="5529"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大于10年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560"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3</w:t>
            </w:r>
          </w:p>
        </w:tc>
        <w:tc>
          <w:tcPr>
            <w:tcW w:w="2409" w:type="dxa"/>
            <w:noWrap w:val="0"/>
            <w:vAlign w:val="center"/>
          </w:tcPr>
          <w:p>
            <w:pPr>
              <w:kinsoku w:val="0"/>
              <w:spacing w:line="240" w:lineRule="auto"/>
              <w:ind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头尾轮及轴承寿命</w:t>
            </w:r>
          </w:p>
        </w:tc>
        <w:tc>
          <w:tcPr>
            <w:tcW w:w="5529"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大于50000小时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560"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4</w:t>
            </w:r>
          </w:p>
        </w:tc>
        <w:tc>
          <w:tcPr>
            <w:tcW w:w="2409" w:type="dxa"/>
            <w:noWrap w:val="0"/>
            <w:vAlign w:val="center"/>
          </w:tcPr>
          <w:p>
            <w:pPr>
              <w:kinsoku w:val="0"/>
              <w:spacing w:line="240" w:lineRule="auto"/>
              <w:ind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其它检测元件寿命</w:t>
            </w:r>
          </w:p>
        </w:tc>
        <w:tc>
          <w:tcPr>
            <w:tcW w:w="5529"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大于30000小时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560"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5</w:t>
            </w:r>
          </w:p>
        </w:tc>
        <w:tc>
          <w:tcPr>
            <w:tcW w:w="2409" w:type="dxa"/>
            <w:noWrap w:val="0"/>
            <w:vAlign w:val="center"/>
          </w:tcPr>
          <w:p>
            <w:pPr>
              <w:kinsoku w:val="0"/>
              <w:spacing w:line="240" w:lineRule="auto"/>
              <w:ind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所有清扫器寿命</w:t>
            </w:r>
          </w:p>
        </w:tc>
        <w:tc>
          <w:tcPr>
            <w:tcW w:w="5529" w:type="dxa"/>
            <w:noWrap w:val="0"/>
            <w:vAlign w:val="center"/>
          </w:tcPr>
          <w:p>
            <w:pPr>
              <w:kinsoku w:val="0"/>
              <w:spacing w:line="240" w:lineRule="auto"/>
              <w:ind w:left="480" w:leftChars="200" w:right="29"/>
              <w:rPr>
                <w:rFonts w:hint="eastAsia" w:ascii="宋体" w:hAnsi="宋体" w:eastAsia="宋体"/>
                <w:color w:val="auto"/>
                <w:kern w:val="18"/>
                <w:szCs w:val="24"/>
                <w:highlight w:val="none"/>
              </w:rPr>
            </w:pPr>
            <w:r>
              <w:rPr>
                <w:rFonts w:hint="eastAsia" w:ascii="宋体" w:hAnsi="宋体" w:eastAsia="宋体"/>
                <w:color w:val="auto"/>
                <w:kern w:val="18"/>
                <w:szCs w:val="24"/>
                <w:highlight w:val="none"/>
              </w:rPr>
              <w:t>大于2年</w:t>
            </w:r>
          </w:p>
        </w:tc>
      </w:tr>
    </w:tbl>
    <w:p>
      <w:pPr>
        <w:rPr>
          <w:rFonts w:hint="eastAsia"/>
          <w:color w:val="auto"/>
          <w:highlight w:val="none"/>
        </w:rPr>
      </w:pPr>
    </w:p>
    <w:p>
      <w:pPr>
        <w:pStyle w:val="2"/>
        <w:tabs>
          <w:tab w:val="clear" w:pos="360"/>
        </w:tabs>
        <w:ind w:left="0" w:firstLine="0"/>
        <w:rPr>
          <w:rFonts w:hint="eastAsia" w:ascii="宋体" w:hAnsi="宋体" w:eastAsia="宋体" w:cs="Arial"/>
          <w:bCs/>
          <w:color w:val="auto"/>
          <w:spacing w:val="16"/>
          <w:kern w:val="18"/>
          <w:szCs w:val="24"/>
          <w:highlight w:val="none"/>
        </w:rPr>
      </w:pPr>
      <w:bookmarkStart w:id="10" w:name="_Toc46774769"/>
      <w:r>
        <w:rPr>
          <w:rFonts w:hint="eastAsia" w:ascii="宋体" w:hAnsi="宋体" w:eastAsia="宋体" w:cs="Arial"/>
          <w:bCs/>
          <w:color w:val="auto"/>
          <w:spacing w:val="16"/>
          <w:kern w:val="18"/>
          <w:szCs w:val="24"/>
          <w:highlight w:val="none"/>
        </w:rPr>
        <w:t>技术规范</w:t>
      </w:r>
      <w:bookmarkEnd w:id="10"/>
    </w:p>
    <w:p>
      <w:pPr>
        <w:spacing w:line="400" w:lineRule="exact"/>
        <w:rPr>
          <w:rFonts w:hint="eastAsia" w:ascii="宋体" w:hAnsi="宋体" w:eastAsia="宋体"/>
          <w:b/>
          <w:bCs/>
          <w:color w:val="auto"/>
          <w:kern w:val="1"/>
          <w:szCs w:val="24"/>
          <w:highlight w:val="none"/>
        </w:rPr>
      </w:pPr>
      <w:r>
        <w:rPr>
          <w:rFonts w:hint="eastAsia" w:ascii="宋体" w:hAnsi="宋体" w:eastAsia="宋体"/>
          <w:b/>
          <w:bCs/>
          <w:color w:val="auto"/>
          <w:kern w:val="1"/>
          <w:szCs w:val="24"/>
          <w:highlight w:val="none"/>
        </w:rPr>
        <w:t>1、总的技术要求：</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 xml:space="preserve">1.1、业主对买方的所有与本设备有关的加工、制造、检验要求条款，对卖方同样有效. </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1.2、卖方按要求填写有关数据表，经确认可后，由买方以书面形式通知卖方，技术条款正式生效。</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1.3、确认的技术参数，仅为主要技术参数，卖方应对整机制造性能负全责，确保所有必须的性能参数合格。</w:t>
      </w:r>
    </w:p>
    <w:p>
      <w:pPr>
        <w:spacing w:line="400" w:lineRule="exact"/>
        <w:rPr>
          <w:rFonts w:ascii="宋体" w:hAnsi="宋体" w:eastAsia="宋体"/>
          <w:bCs/>
          <w:color w:val="auto"/>
          <w:kern w:val="1"/>
          <w:szCs w:val="24"/>
          <w:highlight w:val="none"/>
        </w:rPr>
      </w:pPr>
      <w:r>
        <w:rPr>
          <w:rFonts w:hint="eastAsia" w:ascii="宋体" w:hAnsi="宋体" w:eastAsia="宋体"/>
          <w:bCs/>
          <w:color w:val="auto"/>
          <w:kern w:val="1"/>
          <w:szCs w:val="24"/>
          <w:highlight w:val="none"/>
        </w:rPr>
        <w:t>1.4、卖方在供货过程中，应严格按照招标文件所要求的技术参数制造。所提供的设计图纸等资料及性能特征曲线必须得到</w:t>
      </w:r>
      <w:r>
        <w:rPr>
          <w:rFonts w:hint="eastAsia" w:ascii="宋体" w:hAnsi="宋体" w:eastAsia="宋体"/>
          <w:bCs/>
          <w:strike w:val="0"/>
          <w:dstrike w:val="0"/>
          <w:color w:val="auto"/>
          <w:kern w:val="1"/>
          <w:szCs w:val="24"/>
          <w:highlight w:val="none"/>
          <w:lang w:val="en-US" w:eastAsia="zh-CN"/>
        </w:rPr>
        <w:t>买方</w:t>
      </w:r>
      <w:r>
        <w:rPr>
          <w:rFonts w:hint="eastAsia" w:ascii="宋体" w:hAnsi="宋体" w:eastAsia="宋体"/>
          <w:bCs/>
          <w:color w:val="auto"/>
          <w:kern w:val="1"/>
          <w:szCs w:val="24"/>
          <w:highlight w:val="none"/>
        </w:rPr>
        <w:t>的确认。提供满足工程施工图设计要求的图纸及相关资料内容:型号、规格、性能参数、性能曲线；主要技术参数、图纸,外形尺寸、进出口法兰尺寸、基础布置图、基础分载荷及总载荷；电气控制要求。</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1.5、 电气规范：设备配套电动机防护等级为IP54，绝缘等级F，温升等级B级。</w:t>
      </w:r>
      <w:bookmarkStart w:id="11" w:name="_Toc353397578"/>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lang w:val="en-US" w:eastAsia="zh-CN"/>
        </w:rPr>
        <w:t>1.6、带式输送</w:t>
      </w:r>
      <w:r>
        <w:rPr>
          <w:rFonts w:hint="eastAsia" w:ascii="宋体" w:hAnsi="宋体" w:eastAsia="宋体"/>
          <w:bCs/>
          <w:color w:val="auto"/>
          <w:kern w:val="1"/>
          <w:szCs w:val="24"/>
          <w:highlight w:val="none"/>
        </w:rPr>
        <w:t>机上所有用电配套设备如辅传电机等，均需在设备清单上体现数量和用电功率；</w:t>
      </w:r>
      <w:r>
        <w:rPr>
          <w:rFonts w:hint="eastAsia" w:ascii="宋体" w:hAnsi="宋体" w:eastAsia="宋体"/>
          <w:bCs/>
          <w:color w:val="auto"/>
          <w:kern w:val="1"/>
          <w:szCs w:val="24"/>
          <w:highlight w:val="none"/>
          <w:lang w:val="en-US" w:eastAsia="zh-CN"/>
        </w:rPr>
        <w:t>带式输送</w:t>
      </w:r>
      <w:r>
        <w:rPr>
          <w:rFonts w:hint="eastAsia" w:ascii="宋体" w:hAnsi="宋体" w:eastAsia="宋体"/>
          <w:bCs/>
          <w:color w:val="auto"/>
          <w:kern w:val="1"/>
          <w:szCs w:val="24"/>
          <w:highlight w:val="none"/>
        </w:rPr>
        <w:t>机配套相应的保护开关如拉绳开关，跑偏开关（轻跑偏、重跑偏）、测速开关等，所有需要单独供电的开关，使用电压选用220V含以下，开关信号类型选用无源干接点方式，方便供中控选用。如遇到皮带机长度过长，供应商可对控制要求上做出建议方案。</w:t>
      </w:r>
    </w:p>
    <w:bookmarkEnd w:id="11"/>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卖方提供的带式输送机需按</w:t>
      </w:r>
      <w:r>
        <w:rPr>
          <w:rFonts w:hint="eastAsia" w:ascii="宋体" w:hAnsi="宋体" w:eastAsia="宋体"/>
          <w:bCs/>
          <w:strike w:val="0"/>
          <w:dstrike w:val="0"/>
          <w:color w:val="auto"/>
          <w:kern w:val="1"/>
          <w:szCs w:val="24"/>
          <w:highlight w:val="none"/>
          <w:lang w:val="en-US" w:eastAsia="zh-CN"/>
        </w:rPr>
        <w:t>买方</w:t>
      </w:r>
      <w:r>
        <w:rPr>
          <w:rFonts w:hint="eastAsia" w:ascii="宋体" w:hAnsi="宋体" w:eastAsia="宋体"/>
          <w:bCs/>
          <w:color w:val="auto"/>
          <w:kern w:val="1"/>
          <w:szCs w:val="24"/>
          <w:highlight w:val="none"/>
        </w:rPr>
        <w:t>提出的参数，在设计选型上各部件均按国家标准，同时采用国际先进技术、先进工艺，优化设计，保证所供设备的装备水平、使用性能满足要求，达到国内最先水平。</w:t>
      </w:r>
    </w:p>
    <w:p>
      <w:pPr>
        <w:spacing w:line="400" w:lineRule="exact"/>
        <w:rPr>
          <w:rFonts w:ascii="宋体" w:hAnsi="宋体" w:eastAsia="宋体"/>
          <w:b/>
          <w:bCs/>
          <w:color w:val="auto"/>
          <w:kern w:val="1"/>
          <w:szCs w:val="24"/>
          <w:highlight w:val="none"/>
        </w:rPr>
      </w:pPr>
      <w:r>
        <w:rPr>
          <w:rFonts w:hint="eastAsia" w:ascii="宋体" w:hAnsi="宋体" w:eastAsia="宋体"/>
          <w:b/>
          <w:bCs/>
          <w:color w:val="auto"/>
          <w:kern w:val="1"/>
          <w:szCs w:val="24"/>
          <w:highlight w:val="none"/>
        </w:rPr>
        <w:t>2、标准和规范</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2.1</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带式输送机的设计、制造、包装、运输、储存、验收应以中国国家标准为基础并符合下列有关标准、规范和规定的要求，但不限于此：</w:t>
      </w:r>
    </w:p>
    <w:p>
      <w:pPr>
        <w:spacing w:line="400" w:lineRule="exact"/>
        <w:rPr>
          <w:rFonts w:ascii="宋体" w:hAnsi="宋体" w:eastAsia="宋体"/>
          <w:bCs/>
          <w:color w:val="auto"/>
          <w:kern w:val="1"/>
          <w:szCs w:val="24"/>
          <w:highlight w:val="none"/>
        </w:rPr>
      </w:pPr>
      <w:r>
        <w:rPr>
          <w:rFonts w:hint="eastAsia" w:ascii="宋体" w:hAnsi="宋体" w:eastAsia="宋体"/>
          <w:bCs/>
          <w:color w:val="auto"/>
          <w:highlight w:val="none"/>
        </w:rPr>
        <w:t>GB50431-2008 带式输送机工程设计规范</w:t>
      </w:r>
    </w:p>
    <w:p>
      <w:pPr>
        <w:spacing w:line="400" w:lineRule="exact"/>
        <w:rPr>
          <w:rFonts w:hint="eastAsia" w:ascii="宋体" w:hAnsi="宋体" w:eastAsia="宋体"/>
          <w:bCs/>
          <w:color w:val="auto"/>
          <w:kern w:val="1"/>
          <w:szCs w:val="24"/>
          <w:highlight w:val="none"/>
        </w:rPr>
      </w:pPr>
      <w:r>
        <w:rPr>
          <w:rFonts w:ascii="宋体" w:hAnsi="宋体" w:eastAsia="宋体"/>
          <w:bCs/>
          <w:color w:val="auto"/>
          <w:kern w:val="1"/>
          <w:szCs w:val="24"/>
          <w:highlight w:val="none"/>
        </w:rPr>
        <w:t>GB1059</w:t>
      </w:r>
      <w:r>
        <w:rPr>
          <w:rFonts w:hint="eastAsia" w:ascii="宋体" w:hAnsi="宋体" w:eastAsia="宋体"/>
          <w:bCs/>
          <w:color w:val="auto"/>
          <w:kern w:val="1"/>
          <w:szCs w:val="24"/>
          <w:highlight w:val="none"/>
        </w:rPr>
        <w:t xml:space="preserve">     带式输送机技术条件</w:t>
      </w:r>
    </w:p>
    <w:p>
      <w:pPr>
        <w:spacing w:line="400" w:lineRule="exact"/>
        <w:rPr>
          <w:rFonts w:hint="eastAsia" w:ascii="宋体" w:hAnsi="宋体" w:eastAsia="宋体"/>
          <w:bCs/>
          <w:color w:val="auto"/>
          <w:kern w:val="1"/>
          <w:szCs w:val="24"/>
          <w:highlight w:val="none"/>
        </w:rPr>
      </w:pPr>
      <w:r>
        <w:rPr>
          <w:rFonts w:ascii="宋体" w:hAnsi="宋体" w:eastAsia="宋体"/>
          <w:bCs/>
          <w:color w:val="auto"/>
          <w:kern w:val="1"/>
          <w:szCs w:val="24"/>
          <w:highlight w:val="none"/>
        </w:rPr>
        <w:t>GB987</w:t>
      </w:r>
      <w:r>
        <w:rPr>
          <w:rFonts w:hint="eastAsia" w:ascii="宋体" w:hAnsi="宋体" w:eastAsia="宋体"/>
          <w:bCs/>
          <w:color w:val="auto"/>
          <w:kern w:val="1"/>
          <w:szCs w:val="24"/>
          <w:highlight w:val="none"/>
        </w:rPr>
        <w:t xml:space="preserve">      带式输送机基本参数与尺寸</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GB14784    带式输送机安全规范</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GB/T13792  带式输送机托辊用电焊钢管</w:t>
      </w:r>
    </w:p>
    <w:p>
      <w:pPr>
        <w:spacing w:line="400" w:lineRule="exact"/>
        <w:rPr>
          <w:rFonts w:ascii="宋体" w:hAnsi="宋体" w:eastAsia="宋体"/>
          <w:bCs/>
          <w:color w:val="auto"/>
          <w:kern w:val="1"/>
          <w:szCs w:val="24"/>
          <w:highlight w:val="none"/>
        </w:rPr>
      </w:pPr>
      <w:r>
        <w:rPr>
          <w:rFonts w:hint="eastAsia" w:ascii="宋体" w:hAnsi="宋体" w:eastAsia="宋体"/>
          <w:bCs/>
          <w:color w:val="auto"/>
          <w:kern w:val="1"/>
          <w:szCs w:val="24"/>
          <w:highlight w:val="none"/>
        </w:rPr>
        <w:t>GB53774    带式输送机产品质量分等</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GB11345    </w:t>
      </w:r>
      <w:r>
        <w:rPr>
          <w:rFonts w:hint="eastAsia" w:ascii="宋体" w:hAnsi="宋体" w:eastAsia="宋体"/>
          <w:bCs/>
          <w:color w:val="auto"/>
          <w:kern w:val="1"/>
          <w:szCs w:val="24"/>
          <w:highlight w:val="none"/>
        </w:rPr>
        <w:t>焊缝手工超声探伤方法和探伤结果分级</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GB985      </w:t>
      </w:r>
      <w:r>
        <w:rPr>
          <w:rFonts w:hint="eastAsia" w:ascii="宋体" w:hAnsi="宋体" w:eastAsia="宋体"/>
          <w:bCs/>
          <w:color w:val="auto"/>
          <w:kern w:val="1"/>
          <w:szCs w:val="24"/>
          <w:highlight w:val="none"/>
        </w:rPr>
        <w:t>气焊、手工电弧焊及气体保护焊焊缝坡口的基本形式与尺寸</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GB986      </w:t>
      </w:r>
      <w:r>
        <w:rPr>
          <w:rFonts w:hint="eastAsia" w:ascii="宋体" w:hAnsi="宋体" w:eastAsia="宋体"/>
          <w:bCs/>
          <w:color w:val="auto"/>
          <w:kern w:val="1"/>
          <w:szCs w:val="24"/>
          <w:highlight w:val="none"/>
        </w:rPr>
        <w:t>弧焊焊缝坡口的基本形式与尺寸</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GB1184     </w:t>
      </w:r>
      <w:r>
        <w:rPr>
          <w:rFonts w:hint="eastAsia" w:ascii="宋体" w:hAnsi="宋体" w:eastAsia="宋体"/>
          <w:bCs/>
          <w:color w:val="auto"/>
          <w:kern w:val="1"/>
          <w:szCs w:val="24"/>
          <w:highlight w:val="none"/>
        </w:rPr>
        <w:t>形状和位置公差</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GB/T1804   </w:t>
      </w:r>
      <w:r>
        <w:rPr>
          <w:rFonts w:hint="eastAsia" w:ascii="宋体" w:hAnsi="宋体" w:eastAsia="宋体"/>
          <w:bCs/>
          <w:color w:val="auto"/>
          <w:kern w:val="1"/>
          <w:szCs w:val="24"/>
          <w:highlight w:val="none"/>
        </w:rPr>
        <w:t>一般公差线性尺寸的未注公差</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GB3323     </w:t>
      </w:r>
      <w:r>
        <w:rPr>
          <w:rFonts w:hint="eastAsia" w:ascii="宋体" w:hAnsi="宋体" w:eastAsia="宋体"/>
          <w:bCs/>
          <w:color w:val="auto"/>
          <w:kern w:val="1"/>
          <w:szCs w:val="24"/>
          <w:highlight w:val="none"/>
        </w:rPr>
        <w:t>钢熔化焊对接接头射线照相和质量分级</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GB3767     </w:t>
      </w:r>
      <w:r>
        <w:rPr>
          <w:rFonts w:hint="eastAsia" w:ascii="宋体" w:hAnsi="宋体" w:eastAsia="宋体"/>
          <w:bCs/>
          <w:color w:val="auto"/>
          <w:kern w:val="1"/>
          <w:szCs w:val="24"/>
          <w:highlight w:val="none"/>
        </w:rPr>
        <w:t>噪声源声功率级的测定</w:t>
      </w:r>
    </w:p>
    <w:p>
      <w:pPr>
        <w:spacing w:line="400" w:lineRule="exact"/>
        <w:rPr>
          <w:rFonts w:hint="eastAsia" w:ascii="宋体" w:hAnsi="宋体" w:eastAsia="宋体"/>
          <w:bCs/>
          <w:color w:val="auto"/>
          <w:kern w:val="1"/>
          <w:szCs w:val="24"/>
          <w:highlight w:val="none"/>
        </w:rPr>
      </w:pPr>
      <w:r>
        <w:rPr>
          <w:rFonts w:ascii="宋体" w:hAnsi="宋体" w:eastAsia="宋体"/>
          <w:bCs/>
          <w:color w:val="auto"/>
          <w:kern w:val="1"/>
          <w:szCs w:val="24"/>
          <w:highlight w:val="none"/>
        </w:rPr>
        <w:t xml:space="preserve">JB/ZQ4000  </w:t>
      </w:r>
      <w:r>
        <w:rPr>
          <w:rFonts w:hint="eastAsia" w:ascii="宋体" w:hAnsi="宋体" w:eastAsia="宋体"/>
          <w:bCs/>
          <w:color w:val="auto"/>
          <w:kern w:val="1"/>
          <w:szCs w:val="24"/>
          <w:highlight w:val="none"/>
        </w:rPr>
        <w:t>锻件通用技术条件</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GB4323     </w:t>
      </w:r>
      <w:r>
        <w:rPr>
          <w:rFonts w:hint="eastAsia" w:ascii="宋体" w:hAnsi="宋体" w:eastAsia="宋体"/>
          <w:bCs/>
          <w:color w:val="auto"/>
          <w:kern w:val="1"/>
          <w:szCs w:val="24"/>
          <w:highlight w:val="none"/>
        </w:rPr>
        <w:t>弹性套柱销联轴器</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GB5014     </w:t>
      </w:r>
      <w:r>
        <w:rPr>
          <w:rFonts w:hint="eastAsia" w:ascii="宋体" w:hAnsi="宋体" w:eastAsia="宋体"/>
          <w:bCs/>
          <w:color w:val="auto"/>
          <w:kern w:val="1"/>
          <w:szCs w:val="24"/>
          <w:highlight w:val="none"/>
        </w:rPr>
        <w:t>弹性柱销联轴器</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GB5015     </w:t>
      </w:r>
      <w:r>
        <w:rPr>
          <w:rFonts w:hint="eastAsia" w:ascii="宋体" w:hAnsi="宋体" w:eastAsia="宋体"/>
          <w:bCs/>
          <w:color w:val="auto"/>
          <w:kern w:val="1"/>
          <w:szCs w:val="24"/>
          <w:highlight w:val="none"/>
        </w:rPr>
        <w:t>弹性柱销齿式联轴器</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GB5272     </w:t>
      </w:r>
      <w:r>
        <w:rPr>
          <w:rFonts w:hint="eastAsia" w:ascii="宋体" w:hAnsi="宋体" w:eastAsia="宋体"/>
          <w:bCs/>
          <w:color w:val="auto"/>
          <w:kern w:val="1"/>
          <w:szCs w:val="24"/>
          <w:highlight w:val="none"/>
        </w:rPr>
        <w:t>梅花形弹性联轴器</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 T5837  </w:t>
      </w:r>
      <w:r>
        <w:rPr>
          <w:rFonts w:hint="eastAsia" w:ascii="宋体" w:hAnsi="宋体" w:eastAsia="宋体"/>
          <w:bCs/>
          <w:color w:val="auto"/>
          <w:kern w:val="1"/>
          <w:szCs w:val="24"/>
          <w:highlight w:val="none"/>
        </w:rPr>
        <w:t>液力偶合器型式与基本参数</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GB5677     </w:t>
      </w:r>
      <w:r>
        <w:rPr>
          <w:rFonts w:hint="eastAsia" w:ascii="宋体" w:hAnsi="宋体" w:eastAsia="宋体"/>
          <w:bCs/>
          <w:color w:val="auto"/>
          <w:kern w:val="1"/>
          <w:szCs w:val="24"/>
          <w:highlight w:val="none"/>
        </w:rPr>
        <w:t>铸钢件射线照相及底片等级分类方法</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GB6333     </w:t>
      </w:r>
      <w:r>
        <w:rPr>
          <w:rFonts w:hint="eastAsia" w:ascii="宋体" w:hAnsi="宋体" w:eastAsia="宋体"/>
          <w:bCs/>
          <w:color w:val="auto"/>
          <w:kern w:val="1"/>
          <w:szCs w:val="24"/>
          <w:highlight w:val="none"/>
        </w:rPr>
        <w:t>电力液压块式制动器</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GB6402     </w:t>
      </w:r>
      <w:r>
        <w:rPr>
          <w:rFonts w:hint="eastAsia" w:ascii="宋体" w:hAnsi="宋体" w:eastAsia="宋体"/>
          <w:bCs/>
          <w:color w:val="auto"/>
          <w:kern w:val="1"/>
          <w:szCs w:val="24"/>
          <w:highlight w:val="none"/>
        </w:rPr>
        <w:t>钢锻材超声纵波探伤方法</w:t>
      </w:r>
    </w:p>
    <w:p>
      <w:pPr>
        <w:spacing w:line="400" w:lineRule="exact"/>
        <w:rPr>
          <w:rFonts w:hint="eastAsia" w:ascii="宋体" w:hAnsi="宋体" w:eastAsia="宋体"/>
          <w:bCs/>
          <w:color w:val="auto"/>
          <w:kern w:val="1"/>
          <w:szCs w:val="24"/>
          <w:highlight w:val="none"/>
        </w:rPr>
      </w:pPr>
      <w:r>
        <w:rPr>
          <w:rFonts w:ascii="宋体" w:hAnsi="宋体" w:eastAsia="宋体"/>
          <w:bCs/>
          <w:color w:val="auto"/>
          <w:kern w:val="1"/>
          <w:szCs w:val="24"/>
          <w:highlight w:val="none"/>
        </w:rPr>
        <w:t xml:space="preserve">ZB J19009  </w:t>
      </w:r>
      <w:r>
        <w:rPr>
          <w:rFonts w:hint="eastAsia" w:ascii="宋体" w:hAnsi="宋体" w:eastAsia="宋体"/>
          <w:bCs/>
          <w:color w:val="auto"/>
          <w:kern w:val="1"/>
          <w:szCs w:val="24"/>
          <w:highlight w:val="none"/>
        </w:rPr>
        <w:t>圆柱齿轮减速器通用技术条件</w:t>
      </w:r>
    </w:p>
    <w:p>
      <w:pPr>
        <w:spacing w:line="400" w:lineRule="exact"/>
        <w:rPr>
          <w:rFonts w:hint="eastAsia" w:ascii="宋体" w:hAnsi="宋体" w:eastAsia="宋体"/>
          <w:bCs/>
          <w:color w:val="auto"/>
          <w:kern w:val="1"/>
          <w:szCs w:val="24"/>
          <w:highlight w:val="none"/>
        </w:rPr>
      </w:pPr>
      <w:r>
        <w:rPr>
          <w:rFonts w:ascii="宋体" w:hAnsi="宋体" w:eastAsia="宋体"/>
          <w:bCs/>
          <w:color w:val="auto"/>
          <w:kern w:val="1"/>
          <w:szCs w:val="24"/>
          <w:highlight w:val="none"/>
        </w:rPr>
        <w:t xml:space="preserve">JB2647     </w:t>
      </w:r>
      <w:r>
        <w:rPr>
          <w:rFonts w:hint="eastAsia" w:ascii="宋体" w:hAnsi="宋体" w:eastAsia="宋体"/>
          <w:bCs/>
          <w:color w:val="auto"/>
          <w:kern w:val="1"/>
          <w:szCs w:val="24"/>
          <w:highlight w:val="none"/>
        </w:rPr>
        <w:t>带式输送机包装技术条件</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JB/ZQ4286  </w:t>
      </w:r>
      <w:r>
        <w:rPr>
          <w:rFonts w:hint="eastAsia" w:ascii="宋体" w:hAnsi="宋体" w:eastAsia="宋体"/>
          <w:bCs/>
          <w:color w:val="auto"/>
          <w:kern w:val="1"/>
          <w:szCs w:val="24"/>
          <w:highlight w:val="none"/>
        </w:rPr>
        <w:t>包装通用技术条件</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JB8        </w:t>
      </w:r>
      <w:r>
        <w:rPr>
          <w:rFonts w:hint="eastAsia" w:ascii="宋体" w:hAnsi="宋体" w:eastAsia="宋体"/>
          <w:bCs/>
          <w:color w:val="auto"/>
          <w:kern w:val="1"/>
          <w:szCs w:val="24"/>
          <w:highlight w:val="none"/>
        </w:rPr>
        <w:t>产品标牌</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GB755      </w:t>
      </w:r>
      <w:r>
        <w:rPr>
          <w:rFonts w:hint="eastAsia" w:ascii="宋体" w:hAnsi="宋体" w:eastAsia="宋体"/>
          <w:bCs/>
          <w:color w:val="auto"/>
          <w:kern w:val="1"/>
          <w:szCs w:val="24"/>
          <w:highlight w:val="none"/>
        </w:rPr>
        <w:t>电机基本技术要求</w:t>
      </w:r>
    </w:p>
    <w:p>
      <w:pPr>
        <w:spacing w:line="400" w:lineRule="exact"/>
        <w:rPr>
          <w:rFonts w:ascii="宋体" w:hAnsi="宋体" w:eastAsia="宋体"/>
          <w:bCs/>
          <w:color w:val="auto"/>
          <w:kern w:val="1"/>
          <w:szCs w:val="24"/>
          <w:highlight w:val="none"/>
        </w:rPr>
      </w:pPr>
      <w:r>
        <w:rPr>
          <w:rFonts w:ascii="宋体" w:hAnsi="宋体" w:eastAsia="宋体"/>
          <w:bCs/>
          <w:color w:val="auto"/>
          <w:kern w:val="1"/>
          <w:szCs w:val="24"/>
          <w:highlight w:val="none"/>
        </w:rPr>
        <w:t xml:space="preserve">GB4208     </w:t>
      </w:r>
      <w:r>
        <w:rPr>
          <w:rFonts w:hint="eastAsia" w:ascii="宋体" w:hAnsi="宋体" w:eastAsia="宋体"/>
          <w:bCs/>
          <w:color w:val="auto"/>
          <w:kern w:val="1"/>
          <w:szCs w:val="24"/>
          <w:highlight w:val="none"/>
        </w:rPr>
        <w:t>外壳防护等级分类</w:t>
      </w:r>
    </w:p>
    <w:p>
      <w:pPr>
        <w:spacing w:line="400" w:lineRule="exact"/>
        <w:rPr>
          <w:rFonts w:hint="eastAsia" w:ascii="宋体" w:hAnsi="宋体" w:eastAsia="宋体"/>
          <w:bCs/>
          <w:color w:val="auto"/>
          <w:kern w:val="1"/>
          <w:szCs w:val="24"/>
          <w:highlight w:val="none"/>
        </w:rPr>
      </w:pPr>
      <w:r>
        <w:rPr>
          <w:rFonts w:ascii="宋体" w:hAnsi="宋体" w:eastAsia="宋体"/>
          <w:bCs/>
          <w:color w:val="auto"/>
          <w:kern w:val="1"/>
          <w:szCs w:val="24"/>
          <w:highlight w:val="none"/>
        </w:rPr>
        <w:t xml:space="preserve">GB12348    </w:t>
      </w:r>
      <w:r>
        <w:rPr>
          <w:rFonts w:hint="eastAsia" w:ascii="宋体" w:hAnsi="宋体" w:eastAsia="宋体"/>
          <w:bCs/>
          <w:color w:val="auto"/>
          <w:kern w:val="1"/>
          <w:szCs w:val="24"/>
          <w:highlight w:val="none"/>
        </w:rPr>
        <w:t>工业企业厂界噪声标准</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GB892      涂装前钢材表面锈蚀等级和除锈等级</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JB/T5939   铸钢件通用技术条件</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JB/T5937   铸铁件通用技术条件</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JB/T5994   装配通用技术条件</w:t>
      </w:r>
    </w:p>
    <w:p>
      <w:pPr>
        <w:spacing w:line="400" w:lineRule="exac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JB/T5936   机械加工件通用技术条件</w:t>
      </w:r>
    </w:p>
    <w:p>
      <w:pPr>
        <w:spacing w:line="400" w:lineRule="exact"/>
        <w:rPr>
          <w:rFonts w:ascii="宋体" w:hAnsi="宋体" w:eastAsia="宋体"/>
          <w:bCs/>
          <w:color w:val="auto"/>
          <w:kern w:val="1"/>
          <w:szCs w:val="24"/>
          <w:highlight w:val="none"/>
        </w:rPr>
      </w:pPr>
      <w:r>
        <w:rPr>
          <w:rFonts w:hint="eastAsia" w:ascii="宋体" w:hAnsi="宋体" w:eastAsia="宋体"/>
          <w:bCs/>
          <w:color w:val="auto"/>
          <w:kern w:val="1"/>
          <w:szCs w:val="24"/>
          <w:highlight w:val="none"/>
        </w:rPr>
        <w:t xml:space="preserve">  卖方将执行本文件所列标准。有不一致时，按较高标准执行。</w:t>
      </w:r>
    </w:p>
    <w:p>
      <w:pPr>
        <w:spacing w:line="400" w:lineRule="exact"/>
        <w:rPr>
          <w:rFonts w:hint="eastAsia" w:ascii="宋体" w:hAnsi="宋体" w:eastAsia="宋体"/>
          <w:b/>
          <w:bCs/>
          <w:color w:val="auto"/>
          <w:kern w:val="1"/>
          <w:szCs w:val="24"/>
          <w:highlight w:val="none"/>
        </w:rPr>
      </w:pPr>
      <w:r>
        <w:rPr>
          <w:rFonts w:hint="eastAsia" w:ascii="宋体" w:hAnsi="宋体" w:eastAsia="宋体"/>
          <w:b/>
          <w:bCs/>
          <w:color w:val="auto"/>
          <w:kern w:val="1"/>
          <w:szCs w:val="24"/>
          <w:highlight w:val="none"/>
        </w:rPr>
        <w:t>3、设备的特性、部件组成</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.驱动装置</w:t>
      </w:r>
    </w:p>
    <w:p>
      <w:pPr>
        <w:spacing w:line="400" w:lineRule="exact"/>
        <w:ind w:firstLine="480" w:firstLineChars="200"/>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由YE3系列电动机、硬齿面减速器、</w:t>
      </w:r>
      <w:r>
        <w:rPr>
          <w:rFonts w:hint="eastAsia" w:ascii="宋体" w:hAnsi="宋体" w:eastAsia="宋体"/>
          <w:bCs/>
          <w:color w:val="auto"/>
          <w:kern w:val="1"/>
          <w:szCs w:val="24"/>
          <w:highlight w:val="none"/>
          <w:lang w:val="en-US" w:eastAsia="zh-CN"/>
        </w:rPr>
        <w:t>液</w:t>
      </w:r>
      <w:r>
        <w:rPr>
          <w:rFonts w:hint="eastAsia" w:ascii="宋体" w:hAnsi="宋体" w:eastAsia="宋体"/>
          <w:bCs/>
          <w:color w:val="auto"/>
          <w:kern w:val="1"/>
          <w:szCs w:val="24"/>
          <w:highlight w:val="none"/>
        </w:rPr>
        <w:t>力偶合器、梅花联轴器、制动器、逆止器、低速轴联轴器等部件组成。</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·电动机</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经设计计算，均可用单电机单传动滚筒头部驱动形式，电机采用YE3系列电动机、防护等级IP54、绝缘等级F级，电动机选用380V伏电压供电，电源频率为50HZ。</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·减速器</w:t>
      </w:r>
    </w:p>
    <w:p>
      <w:pPr>
        <w:spacing w:line="400" w:lineRule="exact"/>
        <w:ind w:firstLine="480" w:firstLineChars="200"/>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采用结构紧凑、质量稳定、齿面硬度高达60HRC、精度高达5-6级、密封性能好、使用寿命长的减速器。</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 液力偶合器</w:t>
      </w:r>
    </w:p>
    <w:p>
      <w:pPr>
        <w:spacing w:line="400" w:lineRule="exact"/>
        <w:ind w:firstLine="480" w:firstLineChars="200"/>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因胶带机正常起制动的停车加减速度为±0</w:t>
      </w:r>
      <w:r>
        <w:rPr>
          <w:rFonts w:ascii="宋体" w:hAnsi="宋体" w:eastAsia="宋体"/>
          <w:bCs/>
          <w:color w:val="auto"/>
          <w:kern w:val="1"/>
          <w:szCs w:val="24"/>
          <w:highlight w:val="none"/>
        </w:rPr>
        <w:t>.0</w:t>
      </w:r>
      <w:r>
        <w:rPr>
          <w:rFonts w:hint="eastAsia" w:ascii="宋体" w:hAnsi="宋体" w:eastAsia="宋体"/>
          <w:bCs/>
          <w:color w:val="auto"/>
          <w:kern w:val="1"/>
          <w:szCs w:val="24"/>
          <w:highlight w:val="none"/>
        </w:rPr>
        <w:t>35m/s2考虑，起制动时间要求较长，选用限矩形液力偶合器。</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 制动器</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采用液压推动器作驱动装置。电器绝缘等级为F级，防护等级为IP65符合德国DIN5435-85标准相当于GB6333-86标准。</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 滚筒</w:t>
      </w:r>
    </w:p>
    <w:p>
      <w:pPr>
        <w:spacing w:line="400" w:lineRule="exact"/>
        <w:ind w:firstLine="360" w:firstLineChars="150"/>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传动滚筒组轴径大于120mm传动滚筒组由Z（T）9型胀套、筒体、轴和轴承座组成，铸焊结构的筒体轮毂与轴之间采用上述Z（T）9型胀套联结。轴径小于120mm传动滚筒采用键联接。</w:t>
      </w:r>
    </w:p>
    <w:p>
      <w:pPr>
        <w:spacing w:line="400" w:lineRule="exact"/>
        <w:ind w:firstLine="360" w:firstLineChars="150"/>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主轴材料不低于GB699中的有关规定，并经调质处理硬度不低于HB217～255,精加工后进行探伤检查，不允许有夹渣、裂纹等影响质量的缺陷。</w:t>
      </w:r>
    </w:p>
    <w:p>
      <w:pPr>
        <w:spacing w:line="400" w:lineRule="exact"/>
        <w:ind w:firstLine="480" w:firstLineChars="200"/>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底座、轴承座等材料不低于GB1348中有关QT50-5的有关规定，铸件不允许有裂纹、气孔等影响使用的缺陷。</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·筒体</w:t>
      </w:r>
    </w:p>
    <w:p>
      <w:pPr>
        <w:spacing w:line="400" w:lineRule="exact"/>
        <w:ind w:firstLine="240" w:firstLineChars="100"/>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筒体采用带有人字形沟槽的铸胶表面。</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·托辊组</w:t>
      </w:r>
    </w:p>
    <w:p>
      <w:pPr>
        <w:spacing w:line="400" w:lineRule="exact"/>
        <w:ind w:firstLine="240" w:firstLineChars="100"/>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选用槽型前倾托辊、锥形自动调心托辊、下平形托辊、过渡托辊、橡胶缓冲托辊等不同种类、不同功能的托辊组，托辊结构上采用冲压轴承座，密封采用多元密封结构，带防尘盖，并采用大游隙轴承和优质专用托辊焊管，工艺上采用二氧化碳气体保护焊。托辊寿命不小于3万小时。</w:t>
      </w:r>
    </w:p>
    <w:p>
      <w:pPr>
        <w:spacing w:line="400" w:lineRule="exact"/>
        <w:jc w:val="left"/>
        <w:rPr>
          <w:rFonts w:ascii="宋体" w:hAnsi="宋体" w:eastAsia="宋体"/>
          <w:bCs/>
          <w:color w:val="auto"/>
          <w:kern w:val="1"/>
          <w:szCs w:val="24"/>
          <w:highlight w:val="none"/>
        </w:rPr>
      </w:pPr>
      <w:r>
        <w:rPr>
          <w:rFonts w:ascii="宋体" w:hAnsi="宋体" w:eastAsia="宋体"/>
          <w:bCs/>
          <w:color w:val="auto"/>
          <w:kern w:val="1"/>
          <w:szCs w:val="24"/>
          <w:highlight w:val="none"/>
        </w:rPr>
        <w:t>托辊的主要技术性能参数</w:t>
      </w:r>
    </w:p>
    <w:p>
      <w:pPr>
        <w:spacing w:line="400" w:lineRule="exact"/>
        <w:ind w:firstLine="480" w:firstLineChars="200"/>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运行阻力系数</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0.020</w:t>
      </w:r>
    </w:p>
    <w:p>
      <w:pPr>
        <w:spacing w:line="400" w:lineRule="exact"/>
        <w:ind w:firstLine="480" w:firstLineChars="200"/>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外圆径向跳动</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0.</w:t>
      </w:r>
      <w:r>
        <w:rPr>
          <w:rFonts w:hint="eastAsia" w:ascii="宋体" w:hAnsi="宋体" w:eastAsia="宋体"/>
          <w:bCs/>
          <w:color w:val="auto"/>
          <w:kern w:val="1"/>
          <w:szCs w:val="24"/>
          <w:highlight w:val="none"/>
        </w:rPr>
        <w:t>5</w:t>
      </w:r>
      <w:r>
        <w:rPr>
          <w:rFonts w:ascii="宋体" w:hAnsi="宋体" w:eastAsia="宋体"/>
          <w:bCs/>
          <w:color w:val="auto"/>
          <w:kern w:val="1"/>
          <w:szCs w:val="24"/>
          <w:highlight w:val="none"/>
        </w:rPr>
        <w:t>mm</w:t>
      </w:r>
    </w:p>
    <w:p>
      <w:pPr>
        <w:spacing w:line="400" w:lineRule="exact"/>
        <w:ind w:firstLine="480" w:firstLineChars="200"/>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旋转阻力</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1.9N</w:t>
      </w:r>
    </w:p>
    <w:p>
      <w:pPr>
        <w:spacing w:line="400" w:lineRule="exact"/>
        <w:ind w:firstLine="480" w:firstLineChars="200"/>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托辊轴向承载能力</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≥20</w:t>
      </w:r>
      <w:r>
        <w:rPr>
          <w:rFonts w:ascii="宋体" w:hAnsi="宋体" w:eastAsia="宋体"/>
          <w:bCs/>
          <w:color w:val="auto"/>
          <w:kern w:val="1"/>
          <w:szCs w:val="24"/>
          <w:highlight w:val="none"/>
        </w:rPr>
        <w:t>000N</w:t>
      </w:r>
    </w:p>
    <w:p>
      <w:pPr>
        <w:spacing w:line="400" w:lineRule="exact"/>
        <w:ind w:firstLine="480" w:firstLineChars="200"/>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轴向位移量</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0.25-0.3mm</w:t>
      </w:r>
    </w:p>
    <w:p>
      <w:pPr>
        <w:spacing w:line="400" w:lineRule="exact"/>
        <w:ind w:firstLine="480" w:firstLineChars="200"/>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防水、防尘性能达到</w:t>
      </w:r>
      <w:r>
        <w:rPr>
          <w:rFonts w:ascii="宋体" w:hAnsi="宋体" w:eastAsia="宋体"/>
          <w:bCs/>
          <w:color w:val="auto"/>
          <w:kern w:val="1"/>
          <w:szCs w:val="24"/>
          <w:highlight w:val="none"/>
        </w:rPr>
        <w:t>JB/ZQ8008-88中一等</w:t>
      </w:r>
      <w:r>
        <w:rPr>
          <w:rFonts w:hint="eastAsia" w:ascii="宋体" w:hAnsi="宋体" w:eastAsia="宋体"/>
          <w:bCs/>
          <w:color w:val="auto"/>
          <w:kern w:val="1"/>
          <w:szCs w:val="24"/>
          <w:highlight w:val="none"/>
        </w:rPr>
        <w:t>品</w:t>
      </w:r>
      <w:r>
        <w:rPr>
          <w:rFonts w:ascii="宋体" w:hAnsi="宋体" w:eastAsia="宋体"/>
          <w:bCs/>
          <w:color w:val="auto"/>
          <w:kern w:val="1"/>
          <w:szCs w:val="24"/>
          <w:highlight w:val="none"/>
        </w:rPr>
        <w:t>以上</w:t>
      </w:r>
    </w:p>
    <w:p>
      <w:pPr>
        <w:spacing w:line="400" w:lineRule="exact"/>
        <w:ind w:firstLine="480" w:firstLineChars="200"/>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使用寿命</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≥30</w:t>
      </w:r>
      <w:r>
        <w:rPr>
          <w:rFonts w:ascii="宋体" w:hAnsi="宋体" w:eastAsia="宋体"/>
          <w:bCs/>
          <w:color w:val="auto"/>
          <w:kern w:val="1"/>
          <w:szCs w:val="24"/>
          <w:highlight w:val="none"/>
        </w:rPr>
        <w:t>000小时</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 受料装置</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受料装置上装有橡胶圈式缓冲托辊。</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 卸料装置</w:t>
      </w:r>
    </w:p>
    <w:p>
      <w:pPr>
        <w:spacing w:line="400" w:lineRule="exact"/>
        <w:ind w:firstLine="240" w:firstLineChars="100"/>
        <w:jc w:val="left"/>
        <w:rPr>
          <w:rFonts w:hint="default" w:ascii="宋体" w:hAnsi="宋体" w:eastAsia="宋体"/>
          <w:bCs/>
          <w:color w:val="auto"/>
          <w:kern w:val="1"/>
          <w:szCs w:val="24"/>
          <w:highlight w:val="none"/>
          <w:lang w:val="en-US" w:eastAsia="zh-CN"/>
        </w:rPr>
      </w:pPr>
      <w:r>
        <w:rPr>
          <w:rFonts w:hint="eastAsia" w:ascii="宋体" w:hAnsi="宋体" w:eastAsia="宋体"/>
          <w:bCs/>
          <w:color w:val="auto"/>
          <w:kern w:val="1"/>
          <w:szCs w:val="24"/>
          <w:highlight w:val="none"/>
        </w:rPr>
        <w:t>卸料装置由护罩、漏斗等组成，为减轻物料对漏斗内壁的冲击，在物料进入漏斗的落点处周围至下料口，</w:t>
      </w:r>
      <w:r>
        <w:rPr>
          <w:rFonts w:hint="default" w:ascii="宋体" w:hAnsi="宋体" w:eastAsia="宋体"/>
          <w:bCs/>
          <w:color w:val="auto"/>
          <w:kern w:val="1"/>
          <w:szCs w:val="24"/>
          <w:highlight w:val="none"/>
        </w:rPr>
        <w:t>考虑</w:t>
      </w:r>
      <w:r>
        <w:rPr>
          <w:rFonts w:hint="eastAsia" w:ascii="宋体" w:hAnsi="宋体" w:eastAsia="宋体"/>
          <w:bCs/>
          <w:color w:val="auto"/>
          <w:kern w:val="1"/>
          <w:szCs w:val="24"/>
          <w:highlight w:val="none"/>
          <w:lang w:val="en-US" w:eastAsia="zh-CN"/>
        </w:rPr>
        <w:t>耐磨选择采用合理的结构，以消除卸料时粉料的扬尘问题。</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strike/>
          <w:dstrike w:val="0"/>
          <w:color w:val="auto"/>
          <w:kern w:val="1"/>
          <w:szCs w:val="24"/>
          <w:highlight w:val="none"/>
        </w:rPr>
        <w:t>合金</w:t>
      </w:r>
      <w:r>
        <w:rPr>
          <w:rFonts w:hint="eastAsia" w:ascii="宋体" w:hAnsi="宋体" w:eastAsia="宋体"/>
          <w:bCs/>
          <w:strike w:val="0"/>
          <w:dstrike w:val="0"/>
          <w:color w:val="auto"/>
          <w:kern w:val="1"/>
          <w:szCs w:val="24"/>
          <w:highlight w:val="none"/>
          <w:lang w:val="en-US" w:eastAsia="zh-CN"/>
        </w:rPr>
        <w:t>头部的</w:t>
      </w:r>
      <w:r>
        <w:rPr>
          <w:rFonts w:hint="eastAsia" w:ascii="宋体" w:hAnsi="宋体" w:eastAsia="宋体"/>
          <w:bCs/>
          <w:color w:val="auto"/>
          <w:kern w:val="1"/>
          <w:szCs w:val="24"/>
          <w:highlight w:val="none"/>
        </w:rPr>
        <w:t>清扫器置于漏斗内部</w:t>
      </w:r>
      <w:r>
        <w:rPr>
          <w:rFonts w:ascii="宋体" w:hAnsi="宋体" w:eastAsia="宋体"/>
          <w:bCs/>
          <w:color w:val="auto"/>
          <w:kern w:val="1"/>
          <w:szCs w:val="24"/>
          <w:highlight w:val="none"/>
        </w:rPr>
        <w:t>,</w:t>
      </w:r>
      <w:r>
        <w:rPr>
          <w:rFonts w:hint="eastAsia" w:ascii="宋体" w:hAnsi="宋体" w:eastAsia="宋体"/>
          <w:bCs/>
          <w:color w:val="auto"/>
          <w:kern w:val="1"/>
          <w:szCs w:val="24"/>
          <w:highlight w:val="none"/>
        </w:rPr>
        <w:t>清扫下的物料可直接进入漏斗</w:t>
      </w:r>
      <w:r>
        <w:rPr>
          <w:rFonts w:ascii="宋体" w:hAnsi="宋体" w:eastAsia="宋体"/>
          <w:bCs/>
          <w:color w:val="auto"/>
          <w:kern w:val="1"/>
          <w:szCs w:val="24"/>
          <w:highlight w:val="none"/>
        </w:rPr>
        <w:t>,</w:t>
      </w:r>
      <w:r>
        <w:rPr>
          <w:rFonts w:hint="eastAsia" w:ascii="宋体" w:hAnsi="宋体" w:eastAsia="宋体"/>
          <w:bCs/>
          <w:color w:val="auto"/>
          <w:kern w:val="1"/>
          <w:szCs w:val="24"/>
          <w:highlight w:val="none"/>
        </w:rPr>
        <w:t>在护罩上，物料的进料口设防尘橡胶帘，防止灰尘散出。</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.清扫装置</w:t>
      </w:r>
    </w:p>
    <w:p>
      <w:pPr>
        <w:spacing w:line="400" w:lineRule="exact"/>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配备第一道聚氨脂清扫器,第二道</w:t>
      </w:r>
      <w:r>
        <w:rPr>
          <w:rFonts w:hint="eastAsia" w:ascii="宋体" w:hAnsi="宋体" w:eastAsia="宋体"/>
          <w:bCs/>
          <w:color w:val="auto"/>
          <w:kern w:val="1"/>
          <w:szCs w:val="24"/>
          <w:highlight w:val="none"/>
          <w:lang w:val="en-US" w:eastAsia="zh-CN"/>
        </w:rPr>
        <w:t>电动滚筒刷</w:t>
      </w:r>
      <w:r>
        <w:rPr>
          <w:rFonts w:hint="eastAsia" w:ascii="宋体" w:hAnsi="宋体" w:eastAsia="宋体"/>
          <w:bCs/>
          <w:color w:val="auto"/>
          <w:kern w:val="1"/>
          <w:szCs w:val="24"/>
          <w:highlight w:val="none"/>
        </w:rPr>
        <w:t>，</w:t>
      </w:r>
      <w:r>
        <w:rPr>
          <w:rFonts w:hint="eastAsia" w:ascii="宋体" w:hAnsi="宋体" w:eastAsia="宋体"/>
          <w:bCs/>
          <w:color w:val="auto"/>
          <w:kern w:val="1"/>
          <w:szCs w:val="24"/>
          <w:highlight w:val="none"/>
          <w:lang w:val="en-US" w:eastAsia="zh-CN"/>
        </w:rPr>
        <w:t>回程段的</w:t>
      </w:r>
      <w:r>
        <w:rPr>
          <w:rFonts w:hint="eastAsia" w:ascii="宋体" w:hAnsi="宋体" w:eastAsia="宋体"/>
          <w:bCs/>
          <w:color w:val="auto"/>
          <w:kern w:val="1"/>
          <w:szCs w:val="24"/>
          <w:highlight w:val="none"/>
        </w:rPr>
        <w:t>空段清扫器</w:t>
      </w:r>
      <w:r>
        <w:rPr>
          <w:rFonts w:hint="eastAsia" w:ascii="宋体" w:hAnsi="宋体" w:eastAsia="宋体"/>
          <w:bCs/>
          <w:strike/>
          <w:dstrike w:val="0"/>
          <w:color w:val="auto"/>
          <w:kern w:val="1"/>
          <w:szCs w:val="24"/>
          <w:highlight w:val="none"/>
        </w:rPr>
        <w:t>。</w:t>
      </w:r>
      <w:r>
        <w:rPr>
          <w:rFonts w:hint="eastAsia" w:ascii="宋体" w:hAnsi="宋体" w:eastAsia="宋体"/>
          <w:bCs/>
          <w:color w:val="auto"/>
          <w:kern w:val="1"/>
          <w:szCs w:val="24"/>
          <w:highlight w:val="none"/>
        </w:rPr>
        <w:t>固定在角钢上，角钢由现场焊接在机架上。</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.拉紧装置</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 xml:space="preserve">采用垂直重锤拉紧装置、车式重锤拉紧装置、螺旋拉紧方式。 </w:t>
      </w:r>
    </w:p>
    <w:p>
      <w:pPr>
        <w:spacing w:line="400" w:lineRule="exact"/>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机架</w:t>
      </w:r>
    </w:p>
    <w:p>
      <w:pPr>
        <w:spacing w:line="400" w:lineRule="exact"/>
        <w:jc w:val="left"/>
        <w:rPr>
          <w:rFonts w:ascii="宋体" w:hAnsi="宋体" w:eastAsia="宋体"/>
          <w:bCs/>
          <w:color w:val="auto"/>
          <w:kern w:val="1"/>
          <w:szCs w:val="24"/>
          <w:highlight w:val="none"/>
        </w:rPr>
      </w:pPr>
      <w:r>
        <w:rPr>
          <w:rFonts w:hint="eastAsia" w:ascii="宋体" w:hAnsi="宋体" w:eastAsia="宋体"/>
          <w:bCs/>
          <w:strike/>
          <w:dstrike w:val="0"/>
          <w:color w:val="auto"/>
          <w:kern w:val="1"/>
          <w:szCs w:val="24"/>
          <w:highlight w:val="none"/>
        </w:rPr>
        <w:t>胶</w:t>
      </w:r>
      <w:r>
        <w:rPr>
          <w:rFonts w:hint="eastAsia" w:ascii="宋体" w:hAnsi="宋体" w:eastAsia="宋体"/>
          <w:bCs/>
          <w:color w:val="auto"/>
          <w:kern w:val="1"/>
          <w:szCs w:val="24"/>
          <w:highlight w:val="none"/>
        </w:rPr>
        <w:t>带</w:t>
      </w:r>
      <w:r>
        <w:rPr>
          <w:rFonts w:hint="eastAsia" w:ascii="宋体" w:hAnsi="宋体" w:eastAsia="宋体"/>
          <w:bCs/>
          <w:color w:val="auto"/>
          <w:kern w:val="1"/>
          <w:szCs w:val="24"/>
          <w:highlight w:val="none"/>
          <w:lang w:val="en-US" w:eastAsia="zh-CN"/>
        </w:rPr>
        <w:t>式</w:t>
      </w:r>
      <w:r>
        <w:rPr>
          <w:rFonts w:hint="eastAsia" w:ascii="宋体" w:hAnsi="宋体" w:eastAsia="宋体"/>
          <w:bCs/>
          <w:color w:val="auto"/>
          <w:kern w:val="1"/>
          <w:szCs w:val="24"/>
          <w:highlight w:val="none"/>
        </w:rPr>
        <w:t>输送机的机架包括头架、尾架、中间架以及支腿等。</w:t>
      </w:r>
    </w:p>
    <w:p>
      <w:pPr>
        <w:spacing w:line="400" w:lineRule="exact"/>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头架</w:t>
      </w:r>
    </w:p>
    <w:p>
      <w:pPr>
        <w:spacing w:line="400" w:lineRule="exact"/>
        <w:jc w:val="left"/>
        <w:rPr>
          <w:rFonts w:ascii="宋体" w:hAnsi="宋体" w:eastAsia="宋体"/>
          <w:bCs/>
          <w:color w:val="auto"/>
          <w:kern w:val="1"/>
          <w:szCs w:val="24"/>
          <w:highlight w:val="none"/>
        </w:rPr>
      </w:pPr>
      <w:r>
        <w:rPr>
          <w:rFonts w:hint="eastAsia" w:ascii="宋体" w:hAnsi="宋体" w:eastAsia="宋体"/>
          <w:bCs/>
          <w:strike/>
          <w:dstrike w:val="0"/>
          <w:color w:val="auto"/>
          <w:kern w:val="1"/>
          <w:szCs w:val="24"/>
          <w:highlight w:val="none"/>
        </w:rPr>
        <w:t>胶</w:t>
      </w:r>
      <w:r>
        <w:rPr>
          <w:rFonts w:hint="eastAsia" w:ascii="宋体" w:hAnsi="宋体" w:eastAsia="宋体"/>
          <w:bCs/>
          <w:color w:val="auto"/>
          <w:kern w:val="1"/>
          <w:szCs w:val="24"/>
          <w:highlight w:val="none"/>
        </w:rPr>
        <w:t>带</w:t>
      </w:r>
      <w:r>
        <w:rPr>
          <w:rFonts w:hint="eastAsia" w:ascii="宋体" w:hAnsi="宋体" w:eastAsia="宋体"/>
          <w:bCs/>
          <w:color w:val="auto"/>
          <w:kern w:val="1"/>
          <w:szCs w:val="24"/>
          <w:highlight w:val="none"/>
          <w:lang w:val="en-US" w:eastAsia="zh-CN"/>
        </w:rPr>
        <w:t>式</w:t>
      </w:r>
      <w:r>
        <w:rPr>
          <w:rFonts w:hint="eastAsia" w:ascii="宋体" w:hAnsi="宋体" w:eastAsia="宋体"/>
          <w:bCs/>
          <w:color w:val="auto"/>
          <w:kern w:val="1"/>
          <w:szCs w:val="24"/>
          <w:highlight w:val="none"/>
        </w:rPr>
        <w:t>输送机头架为三角机架，滚筒轴承座底座均设螺栓调节装置。</w:t>
      </w:r>
    </w:p>
    <w:p>
      <w:pPr>
        <w:spacing w:line="400" w:lineRule="exact"/>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尾架</w:t>
      </w:r>
    </w:p>
    <w:p>
      <w:pPr>
        <w:spacing w:line="400" w:lineRule="exact"/>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尾架为三角尾架,滚筒轴承座底座均设螺栓调节装置。</w:t>
      </w:r>
    </w:p>
    <w:p>
      <w:pPr>
        <w:spacing w:line="400" w:lineRule="exact"/>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 xml:space="preserve"> </w:t>
      </w:r>
      <w:r>
        <w:rPr>
          <w:rFonts w:hint="eastAsia" w:ascii="宋体" w:hAnsi="宋体" w:eastAsia="宋体"/>
          <w:bCs/>
          <w:color w:val="auto"/>
          <w:kern w:val="1"/>
          <w:szCs w:val="24"/>
          <w:highlight w:val="none"/>
        </w:rPr>
        <w:t>中间架</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根据</w:t>
      </w:r>
      <w:r>
        <w:rPr>
          <w:rFonts w:hint="eastAsia" w:ascii="宋体" w:hAnsi="宋体" w:eastAsia="宋体"/>
          <w:bCs/>
          <w:strike/>
          <w:dstrike w:val="0"/>
          <w:color w:val="auto"/>
          <w:kern w:val="1"/>
          <w:szCs w:val="24"/>
          <w:highlight w:val="none"/>
        </w:rPr>
        <w:t>胶</w:t>
      </w:r>
      <w:r>
        <w:rPr>
          <w:rFonts w:hint="eastAsia" w:ascii="宋体" w:hAnsi="宋体" w:eastAsia="宋体"/>
          <w:bCs/>
          <w:color w:val="auto"/>
          <w:kern w:val="1"/>
          <w:szCs w:val="24"/>
          <w:highlight w:val="none"/>
        </w:rPr>
        <w:t>带</w:t>
      </w:r>
      <w:r>
        <w:rPr>
          <w:rFonts w:hint="eastAsia" w:ascii="宋体" w:hAnsi="宋体" w:eastAsia="宋体"/>
          <w:bCs/>
          <w:color w:val="auto"/>
          <w:kern w:val="1"/>
          <w:szCs w:val="24"/>
          <w:highlight w:val="none"/>
          <w:lang w:val="en-US" w:eastAsia="zh-CN"/>
        </w:rPr>
        <w:t>式</w:t>
      </w:r>
      <w:r>
        <w:rPr>
          <w:rFonts w:hint="eastAsia" w:ascii="宋体" w:hAnsi="宋体" w:eastAsia="宋体"/>
          <w:bCs/>
          <w:color w:val="auto"/>
          <w:kern w:val="1"/>
          <w:szCs w:val="24"/>
          <w:highlight w:val="none"/>
        </w:rPr>
        <w:t>输送机工艺布置情况，整条胶带机均设计为带支腿的中间架，支腿现场焊于中间架上。</w:t>
      </w:r>
    </w:p>
    <w:p>
      <w:pPr>
        <w:spacing w:line="400" w:lineRule="exact"/>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w:t>
      </w:r>
      <w:r>
        <w:rPr>
          <w:rFonts w:hint="eastAsia" w:ascii="宋体" w:hAnsi="宋体" w:eastAsia="宋体"/>
          <w:bCs/>
          <w:color w:val="auto"/>
          <w:kern w:val="1"/>
          <w:szCs w:val="24"/>
          <w:highlight w:val="none"/>
          <w:lang w:val="en-US" w:eastAsia="zh-CN"/>
        </w:rPr>
        <w:t>中间架</w:t>
      </w:r>
      <w:r>
        <w:rPr>
          <w:rFonts w:hint="eastAsia" w:ascii="宋体" w:hAnsi="宋体" w:eastAsia="宋体"/>
          <w:bCs/>
          <w:color w:val="auto"/>
          <w:kern w:val="1"/>
          <w:szCs w:val="24"/>
          <w:highlight w:val="none"/>
        </w:rPr>
        <w:t>架体的直线度≤全长的</w:t>
      </w:r>
      <w:r>
        <w:rPr>
          <w:rFonts w:ascii="宋体" w:hAnsi="宋体" w:eastAsia="宋体"/>
          <w:bCs/>
          <w:color w:val="auto"/>
          <w:kern w:val="1"/>
          <w:szCs w:val="24"/>
          <w:highlight w:val="none"/>
        </w:rPr>
        <w:t>1/1000，对角线长度之差≤两对角线长度平均值的3/1000。</w:t>
      </w:r>
    </w:p>
    <w:p>
      <w:pPr>
        <w:spacing w:line="400" w:lineRule="exact"/>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安装轴承座对应平面平面度：</w:t>
      </w:r>
    </w:p>
    <w:p>
      <w:pPr>
        <w:spacing w:line="400" w:lineRule="exact"/>
        <w:ind w:firstLine="480" w:firstLineChars="200"/>
        <w:jc w:val="left"/>
        <w:rPr>
          <w:rFonts w:ascii="宋体" w:hAnsi="宋体" w:eastAsia="宋体"/>
          <w:bCs/>
          <w:color w:val="auto"/>
          <w:kern w:val="1"/>
          <w:szCs w:val="24"/>
          <w:highlight w:val="none"/>
        </w:rPr>
      </w:pPr>
      <w:r>
        <w:rPr>
          <w:rFonts w:ascii="宋体" w:hAnsi="宋体" w:eastAsia="宋体"/>
          <w:bCs/>
          <w:color w:val="auto"/>
          <w:kern w:val="1"/>
          <w:szCs w:val="24"/>
          <w:highlight w:val="none"/>
        </w:rPr>
        <w:t>B</w:t>
      </w: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800mm</w:t>
      </w:r>
      <w:r>
        <w:rPr>
          <w:rFonts w:hint="eastAsia" w:ascii="宋体" w:hAnsi="宋体" w:eastAsia="宋体"/>
          <w:bCs/>
          <w:color w:val="auto"/>
          <w:kern w:val="1"/>
          <w:szCs w:val="24"/>
          <w:highlight w:val="none"/>
        </w:rPr>
        <w:t xml:space="preserve">   ≤</w:t>
      </w:r>
      <w:r>
        <w:rPr>
          <w:rFonts w:ascii="宋体" w:hAnsi="宋体" w:eastAsia="宋体"/>
          <w:bCs/>
          <w:color w:val="auto"/>
          <w:kern w:val="1"/>
          <w:szCs w:val="24"/>
          <w:highlight w:val="none"/>
        </w:rPr>
        <w:t>0.95mm</w:t>
      </w:r>
    </w:p>
    <w:p>
      <w:pPr>
        <w:spacing w:line="400" w:lineRule="exact"/>
        <w:ind w:firstLine="480" w:firstLineChars="200"/>
        <w:jc w:val="left"/>
        <w:rPr>
          <w:rFonts w:ascii="宋体" w:hAnsi="宋体" w:eastAsia="宋体"/>
          <w:bCs/>
          <w:color w:val="auto"/>
          <w:kern w:val="1"/>
          <w:szCs w:val="24"/>
          <w:highlight w:val="none"/>
        </w:rPr>
      </w:pPr>
      <w:r>
        <w:rPr>
          <w:rFonts w:ascii="宋体" w:hAnsi="宋体" w:eastAsia="宋体"/>
          <w:bCs/>
          <w:color w:val="auto"/>
          <w:kern w:val="1"/>
          <w:szCs w:val="24"/>
          <w:highlight w:val="none"/>
        </w:rPr>
        <w:t>B&gt;800mm</w:t>
      </w:r>
      <w:r>
        <w:rPr>
          <w:rFonts w:hint="eastAsia" w:ascii="宋体" w:hAnsi="宋体" w:eastAsia="宋体"/>
          <w:bCs/>
          <w:color w:val="auto"/>
          <w:kern w:val="1"/>
          <w:szCs w:val="24"/>
          <w:highlight w:val="none"/>
        </w:rPr>
        <w:t xml:space="preserve">    ≤</w:t>
      </w:r>
      <w:r>
        <w:rPr>
          <w:rFonts w:ascii="宋体" w:hAnsi="宋体" w:eastAsia="宋体"/>
          <w:bCs/>
          <w:color w:val="auto"/>
          <w:kern w:val="1"/>
          <w:szCs w:val="24"/>
          <w:highlight w:val="none"/>
        </w:rPr>
        <w:t>1.4mm</w:t>
      </w:r>
    </w:p>
    <w:p>
      <w:pPr>
        <w:spacing w:line="400" w:lineRule="exact"/>
        <w:jc w:val="left"/>
        <w:rPr>
          <w:rFonts w:ascii="宋体" w:hAnsi="宋体" w:eastAsia="宋体"/>
          <w:bCs/>
          <w:color w:val="auto"/>
          <w:kern w:val="1"/>
          <w:szCs w:val="24"/>
          <w:highlight w:val="none"/>
        </w:rPr>
      </w:pPr>
      <w:r>
        <w:rPr>
          <w:rFonts w:hint="eastAsia" w:ascii="宋体" w:hAnsi="宋体" w:eastAsia="宋体"/>
          <w:bCs/>
          <w:color w:val="auto"/>
          <w:kern w:val="1"/>
          <w:szCs w:val="24"/>
          <w:highlight w:val="none"/>
        </w:rPr>
        <w:t>安装轴承座对应孔间距偏差：</w:t>
      </w:r>
    </w:p>
    <w:p>
      <w:pPr>
        <w:spacing w:line="400" w:lineRule="exact"/>
        <w:ind w:firstLine="480" w:firstLineChars="200"/>
        <w:jc w:val="left"/>
        <w:rPr>
          <w:rFonts w:ascii="宋体" w:hAnsi="宋体" w:eastAsia="宋体"/>
          <w:bCs/>
          <w:color w:val="auto"/>
          <w:kern w:val="1"/>
          <w:szCs w:val="24"/>
          <w:highlight w:val="none"/>
        </w:rPr>
      </w:pPr>
      <w:r>
        <w:rPr>
          <w:rFonts w:ascii="宋体" w:hAnsi="宋体" w:eastAsia="宋体"/>
          <w:bCs/>
          <w:color w:val="auto"/>
          <w:kern w:val="1"/>
          <w:szCs w:val="24"/>
          <w:highlight w:val="none"/>
        </w:rPr>
        <w:t>B</w:t>
      </w:r>
      <w:r>
        <w:rPr>
          <w:rFonts w:hint="eastAsia" w:ascii="宋体" w:hAnsi="宋体" w:eastAsia="宋体"/>
          <w:bCs/>
          <w:color w:val="auto"/>
          <w:kern w:val="1"/>
          <w:szCs w:val="24"/>
          <w:highlight w:val="none"/>
        </w:rPr>
        <w:t>≤</w:t>
      </w:r>
      <w:r>
        <w:rPr>
          <w:rFonts w:ascii="宋体" w:hAnsi="宋体" w:eastAsia="宋体"/>
          <w:bCs/>
          <w:color w:val="auto"/>
          <w:kern w:val="1"/>
          <w:szCs w:val="24"/>
          <w:highlight w:val="none"/>
        </w:rPr>
        <w:t>800mm    L±1.5</w:t>
      </w:r>
    </w:p>
    <w:p>
      <w:pPr>
        <w:spacing w:line="400" w:lineRule="exact"/>
        <w:ind w:firstLine="480" w:firstLineChars="200"/>
        <w:jc w:val="left"/>
        <w:rPr>
          <w:rFonts w:hint="eastAsia" w:ascii="宋体" w:hAnsi="宋体" w:eastAsia="宋体"/>
          <w:bCs/>
          <w:color w:val="auto"/>
          <w:kern w:val="1"/>
          <w:szCs w:val="24"/>
          <w:highlight w:val="none"/>
        </w:rPr>
      </w:pPr>
      <w:r>
        <w:rPr>
          <w:rFonts w:ascii="宋体" w:hAnsi="宋体" w:eastAsia="宋体"/>
          <w:bCs/>
          <w:color w:val="auto"/>
          <w:kern w:val="1"/>
          <w:szCs w:val="24"/>
          <w:highlight w:val="none"/>
        </w:rPr>
        <w:t xml:space="preserve">B&gt;800mm   </w:t>
      </w:r>
      <w:r>
        <w:rPr>
          <w:rFonts w:hint="eastAsia" w:ascii="宋体" w:hAnsi="宋体" w:eastAsia="宋体"/>
          <w:bCs/>
          <w:color w:val="auto"/>
          <w:kern w:val="1"/>
          <w:szCs w:val="24"/>
          <w:highlight w:val="none"/>
        </w:rPr>
        <w:t xml:space="preserve"> </w:t>
      </w:r>
      <w:r>
        <w:rPr>
          <w:rFonts w:ascii="宋体" w:hAnsi="宋体" w:eastAsia="宋体"/>
          <w:bCs/>
          <w:color w:val="auto"/>
          <w:kern w:val="1"/>
          <w:szCs w:val="24"/>
          <w:highlight w:val="none"/>
        </w:rPr>
        <w:t xml:space="preserve"> L±2.0</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.安全防护装置</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.所有外露的旋转，移动部件均设防护罩、防护栅或防护栏杆。</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w:t>
      </w:r>
      <w:r>
        <w:rPr>
          <w:rFonts w:hint="eastAsia" w:ascii="宋体" w:hAnsi="宋体" w:eastAsia="宋体"/>
          <w:bCs/>
          <w:strike/>
          <w:dstrike w:val="0"/>
          <w:color w:val="auto"/>
          <w:kern w:val="1"/>
          <w:szCs w:val="24"/>
          <w:highlight w:val="none"/>
        </w:rPr>
        <w:t>胶</w:t>
      </w:r>
      <w:r>
        <w:rPr>
          <w:rFonts w:hint="eastAsia" w:ascii="宋体" w:hAnsi="宋体" w:eastAsia="宋体"/>
          <w:bCs/>
          <w:color w:val="auto"/>
          <w:kern w:val="1"/>
          <w:szCs w:val="24"/>
          <w:highlight w:val="none"/>
        </w:rPr>
        <w:t>带</w:t>
      </w:r>
      <w:r>
        <w:rPr>
          <w:rFonts w:hint="eastAsia" w:ascii="宋体" w:hAnsi="宋体" w:eastAsia="宋体"/>
          <w:bCs/>
          <w:color w:val="auto"/>
          <w:kern w:val="1"/>
          <w:szCs w:val="24"/>
          <w:highlight w:val="none"/>
          <w:lang w:val="en-US" w:eastAsia="zh-CN"/>
        </w:rPr>
        <w:t>式输送</w:t>
      </w:r>
      <w:r>
        <w:rPr>
          <w:rFonts w:hint="eastAsia" w:ascii="宋体" w:hAnsi="宋体" w:eastAsia="宋体"/>
          <w:bCs/>
          <w:color w:val="auto"/>
          <w:kern w:val="1"/>
          <w:szCs w:val="24"/>
          <w:highlight w:val="none"/>
        </w:rPr>
        <w:t>机输送上全程采用防雨罩密封，能有效地抑制灰尘外泄以及保护胶带,它由固定式罩、开闭式罩、折点罩、跑偏开关罩等品种组成。</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.导料槽</w:t>
      </w:r>
    </w:p>
    <w:p>
      <w:pPr>
        <w:spacing w:line="400" w:lineRule="exact"/>
        <w:jc w:val="left"/>
        <w:rPr>
          <w:rFonts w:hint="eastAsia" w:ascii="宋体" w:hAnsi="宋体" w:eastAsia="宋体"/>
          <w:bCs/>
          <w:color w:val="auto"/>
          <w:kern w:val="1"/>
          <w:szCs w:val="24"/>
          <w:highlight w:val="none"/>
        </w:rPr>
      </w:pPr>
      <w:r>
        <w:rPr>
          <w:rFonts w:hint="eastAsia" w:ascii="宋体" w:hAnsi="宋体" w:eastAsia="宋体"/>
          <w:bCs/>
          <w:color w:val="auto"/>
          <w:kern w:val="1"/>
          <w:szCs w:val="24"/>
          <w:highlight w:val="none"/>
        </w:rPr>
        <w:t>导料槽采用喇叭口型式。导料槽与胶带接触部位的宽度约为胶带公称宽度的60%，在胶带与导料槽之间的间隙设橡胶挡板，橡胶板用楔铁固定在压板之下，可实现橡胶板的快速调整和更换，并能调整其间隙。用于导料槽的橡胶板具有良好的耐磨与抗老化性能。</w:t>
      </w:r>
    </w:p>
    <w:p>
      <w:pPr>
        <w:rPr>
          <w:rFonts w:hint="eastAsia"/>
          <w:color w:val="auto"/>
          <w:highlight w:val="none"/>
        </w:rPr>
      </w:pPr>
    </w:p>
    <w:p>
      <w:pPr>
        <w:adjustRightInd/>
        <w:spacing w:line="480" w:lineRule="exact"/>
        <w:ind w:firstLine="120" w:firstLineChars="50"/>
        <w:rPr>
          <w:rFonts w:ascii="宋体" w:hAnsi="宋体" w:eastAsia="宋体"/>
          <w:color w:val="auto"/>
          <w:szCs w:val="24"/>
          <w:highlight w:val="none"/>
        </w:rPr>
      </w:pPr>
      <w:r>
        <w:rPr>
          <w:rFonts w:hint="eastAsia" w:ascii="宋体" w:hAnsi="宋体" w:eastAsia="宋体"/>
          <w:color w:val="auto"/>
          <w:kern w:val="18"/>
          <w:szCs w:val="24"/>
          <w:highlight w:val="none"/>
        </w:rPr>
        <w:t>4</w:t>
      </w:r>
      <w:r>
        <w:rPr>
          <w:rFonts w:ascii="宋体" w:hAnsi="宋体" w:eastAsia="宋体"/>
          <w:color w:val="auto"/>
          <w:kern w:val="18"/>
          <w:szCs w:val="24"/>
          <w:highlight w:val="none"/>
        </w:rPr>
        <w:t>.</w:t>
      </w:r>
      <w:r>
        <w:rPr>
          <w:rFonts w:hint="eastAsia" w:ascii="宋体" w:hAnsi="宋体" w:eastAsia="宋体"/>
          <w:color w:val="auto"/>
          <w:szCs w:val="24"/>
          <w:highlight w:val="none"/>
        </w:rPr>
        <w:t>设备设计要求：</w:t>
      </w:r>
    </w:p>
    <w:p>
      <w:pPr>
        <w:kinsoku w:val="0"/>
        <w:spacing w:line="240" w:lineRule="auto"/>
        <w:ind w:left="480" w:leftChars="200" w:right="29"/>
        <w:rPr>
          <w:rFonts w:ascii="宋体" w:hAnsi="宋体" w:eastAsia="宋体"/>
          <w:color w:val="auto"/>
          <w:kern w:val="18"/>
          <w:szCs w:val="24"/>
          <w:highlight w:val="none"/>
        </w:rPr>
      </w:pPr>
      <w:r>
        <w:rPr>
          <w:rFonts w:hint="eastAsia" w:ascii="宋体" w:hAnsi="宋体" w:eastAsia="宋体"/>
          <w:color w:val="auto"/>
          <w:kern w:val="18"/>
          <w:szCs w:val="24"/>
          <w:highlight w:val="none"/>
        </w:rPr>
        <w:t>需依照工程实践的最高要求并满足设备的性能、参数、结构特点、工艺要求以及制造技术条件，符合验收规则。设备应采用优良的加工工艺，具备耐用的性能，其等级和质量至少应达到国家行业要求合格标准。对设计而言，设备必须满足工程要求及操作规程中所有操作条件，要特别注意温度变化引起的膨胀、高温对外层涂料的稳定性、电机、电气设备与热负载设备、冷却系统的额定参数以及高温运行时的润滑剂的选择。设备必须具有防尘、防火、防潮、防缩、防冻等功能，满足产品防护要求。保证设备所有零部件的制造精度，提高设备零部件的互换性。设备设计必须保证产品在长期的连续运行中保持最少的维修量。选择产品结构、材料，应考虑其今后的工作场所和工况。与水接触的设备及材料不能含有异味、毒性或其它有害健康、影响水输送的成分。应使用卫生部门认可或相同规范确认的设备及材料。</w:t>
      </w:r>
    </w:p>
    <w:p>
      <w:pPr>
        <w:kinsoku w:val="0"/>
        <w:spacing w:line="240" w:lineRule="auto"/>
        <w:ind w:left="361" w:leftChars="50" w:right="29" w:hanging="241" w:hangingChars="100"/>
        <w:rPr>
          <w:rFonts w:ascii="宋体" w:hAnsi="宋体" w:eastAsia="宋体"/>
          <w:color w:val="auto"/>
          <w:kern w:val="18"/>
          <w:szCs w:val="24"/>
          <w:highlight w:val="none"/>
        </w:rPr>
      </w:pPr>
      <w:r>
        <w:rPr>
          <w:rFonts w:hint="eastAsia" w:ascii="宋体" w:hAnsi="宋体" w:eastAsia="宋体"/>
          <w:b/>
          <w:color w:val="auto"/>
          <w:kern w:val="18"/>
          <w:szCs w:val="24"/>
          <w:highlight w:val="none"/>
        </w:rPr>
        <w:t>铸件：</w:t>
      </w:r>
      <w:r>
        <w:rPr>
          <w:rFonts w:hint="eastAsia" w:ascii="宋体" w:hAnsi="宋体" w:eastAsia="宋体"/>
          <w:color w:val="auto"/>
          <w:kern w:val="18"/>
          <w:szCs w:val="24"/>
          <w:highlight w:val="none"/>
        </w:rPr>
        <w:t>设备选用的铸件应满足设备结构和功能要求，铸件要满足以下标准或相关标准，承包人应将各标准提供给发包人：</w:t>
      </w:r>
    </w:p>
    <w:p>
      <w:pPr>
        <w:kinsoku w:val="0"/>
        <w:spacing w:line="240" w:lineRule="auto"/>
        <w:ind w:right="29"/>
        <w:rPr>
          <w:rFonts w:ascii="宋体" w:hAnsi="宋体" w:eastAsia="宋体"/>
          <w:color w:val="auto"/>
          <w:kern w:val="18"/>
          <w:szCs w:val="24"/>
          <w:highlight w:val="none"/>
        </w:rPr>
      </w:pPr>
      <w:r>
        <w:rPr>
          <w:rFonts w:hint="eastAsia" w:ascii="宋体" w:hAnsi="宋体" w:eastAsia="宋体"/>
          <w:color w:val="auto"/>
          <w:kern w:val="18"/>
          <w:szCs w:val="24"/>
          <w:highlight w:val="none"/>
        </w:rPr>
        <w:t>（1）灰口铸铁按《《GB/T 9439-2010》标准执行；</w:t>
      </w:r>
    </w:p>
    <w:p>
      <w:pPr>
        <w:kinsoku w:val="0"/>
        <w:spacing w:line="240" w:lineRule="auto"/>
        <w:ind w:right="29"/>
        <w:rPr>
          <w:rFonts w:ascii="宋体" w:hAnsi="宋体" w:eastAsia="宋体"/>
          <w:color w:val="auto"/>
          <w:kern w:val="18"/>
          <w:szCs w:val="24"/>
          <w:highlight w:val="none"/>
        </w:rPr>
      </w:pPr>
      <w:r>
        <w:rPr>
          <w:rFonts w:hint="eastAsia" w:ascii="宋体" w:hAnsi="宋体" w:eastAsia="宋体"/>
          <w:color w:val="auto"/>
          <w:kern w:val="18"/>
          <w:szCs w:val="24"/>
          <w:highlight w:val="none"/>
        </w:rPr>
        <w:t>（2）碳钢铸件按《GB/T 11352-2009》标准执行；</w:t>
      </w:r>
    </w:p>
    <w:p>
      <w:pPr>
        <w:kinsoku w:val="0"/>
        <w:spacing w:line="240" w:lineRule="auto"/>
        <w:ind w:right="29"/>
        <w:rPr>
          <w:rFonts w:ascii="宋体" w:hAnsi="宋体" w:eastAsia="宋体"/>
          <w:color w:val="auto"/>
          <w:kern w:val="18"/>
          <w:szCs w:val="24"/>
          <w:highlight w:val="none"/>
        </w:rPr>
      </w:pPr>
      <w:r>
        <w:rPr>
          <w:rFonts w:hint="eastAsia" w:ascii="宋体" w:hAnsi="宋体" w:eastAsia="宋体"/>
          <w:color w:val="auto"/>
          <w:kern w:val="18"/>
          <w:szCs w:val="24"/>
          <w:highlight w:val="none"/>
        </w:rPr>
        <w:t>（3）不锈钢铸件按《GB/T 2100-2002》标准执行；</w:t>
      </w:r>
    </w:p>
    <w:p>
      <w:pPr>
        <w:kinsoku w:val="0"/>
        <w:spacing w:line="240" w:lineRule="auto"/>
        <w:ind w:right="29"/>
        <w:rPr>
          <w:rFonts w:ascii="宋体" w:hAnsi="宋体" w:eastAsia="宋体"/>
          <w:color w:val="auto"/>
          <w:kern w:val="18"/>
          <w:szCs w:val="24"/>
          <w:highlight w:val="none"/>
        </w:rPr>
      </w:pPr>
      <w:r>
        <w:rPr>
          <w:rFonts w:hint="eastAsia" w:ascii="宋体" w:hAnsi="宋体" w:eastAsia="宋体"/>
          <w:color w:val="auto"/>
          <w:kern w:val="18"/>
          <w:szCs w:val="24"/>
          <w:highlight w:val="none"/>
        </w:rPr>
        <w:t>（4）铜及铜合金铸件按《</w:t>
      </w:r>
      <w:r>
        <w:rPr>
          <w:rFonts w:ascii="宋体" w:hAnsi="宋体" w:eastAsia="宋体"/>
          <w:color w:val="auto"/>
          <w:kern w:val="18"/>
          <w:szCs w:val="24"/>
          <w:highlight w:val="none"/>
        </w:rPr>
        <w:t>GB</w:t>
      </w:r>
      <w:r>
        <w:rPr>
          <w:rFonts w:hint="eastAsia" w:ascii="宋体" w:hAnsi="宋体" w:eastAsia="宋体"/>
          <w:color w:val="auto"/>
          <w:kern w:val="18"/>
          <w:szCs w:val="24"/>
          <w:highlight w:val="none"/>
        </w:rPr>
        <w:t xml:space="preserve">/T </w:t>
      </w:r>
      <w:r>
        <w:rPr>
          <w:rFonts w:ascii="宋体" w:hAnsi="宋体" w:eastAsia="宋体"/>
          <w:color w:val="auto"/>
          <w:kern w:val="18"/>
          <w:szCs w:val="24"/>
          <w:highlight w:val="none"/>
        </w:rPr>
        <w:t>l</w:t>
      </w:r>
      <w:r>
        <w:rPr>
          <w:rFonts w:hint="eastAsia" w:ascii="宋体" w:hAnsi="宋体" w:eastAsia="宋体"/>
          <w:color w:val="auto"/>
          <w:kern w:val="18"/>
          <w:szCs w:val="24"/>
          <w:highlight w:val="none"/>
        </w:rPr>
        <w:t>3819</w:t>
      </w:r>
      <w:r>
        <w:rPr>
          <w:rFonts w:ascii="宋体" w:hAnsi="宋体" w:eastAsia="宋体"/>
          <w:color w:val="auto"/>
          <w:kern w:val="18"/>
          <w:szCs w:val="24"/>
          <w:highlight w:val="none"/>
        </w:rPr>
        <w:t>-</w:t>
      </w:r>
      <w:r>
        <w:rPr>
          <w:rFonts w:hint="eastAsia" w:ascii="宋体" w:hAnsi="宋体" w:eastAsia="宋体"/>
          <w:color w:val="auto"/>
          <w:kern w:val="18"/>
          <w:szCs w:val="24"/>
          <w:highlight w:val="none"/>
        </w:rPr>
        <w:t>2013》标准执行。</w:t>
      </w:r>
    </w:p>
    <w:p>
      <w:pPr>
        <w:kinsoku w:val="0"/>
        <w:spacing w:line="240" w:lineRule="auto"/>
        <w:ind w:right="29"/>
        <w:rPr>
          <w:rFonts w:hint="eastAsia" w:ascii="宋体" w:hAnsi="宋体" w:eastAsia="宋体"/>
          <w:color w:val="auto"/>
          <w:kern w:val="18"/>
          <w:szCs w:val="24"/>
          <w:highlight w:val="none"/>
        </w:rPr>
      </w:pPr>
    </w:p>
    <w:p>
      <w:pPr>
        <w:kinsoku w:val="0"/>
        <w:spacing w:line="240" w:lineRule="auto"/>
        <w:ind w:right="29"/>
        <w:rPr>
          <w:rFonts w:hint="eastAsia" w:ascii="宋体" w:hAnsi="宋体" w:eastAsia="宋体"/>
          <w:color w:val="auto"/>
          <w:kern w:val="18"/>
          <w:szCs w:val="24"/>
          <w:highlight w:val="none"/>
        </w:rPr>
      </w:pPr>
      <w:r>
        <w:rPr>
          <w:rFonts w:hint="eastAsia" w:ascii="宋体" w:hAnsi="宋体" w:eastAsia="宋体"/>
          <w:b/>
          <w:color w:val="auto"/>
          <w:kern w:val="18"/>
          <w:szCs w:val="24"/>
          <w:highlight w:val="none"/>
        </w:rPr>
        <w:t>焊件</w:t>
      </w:r>
      <w:r>
        <w:rPr>
          <w:rFonts w:hint="eastAsia" w:ascii="宋体" w:hAnsi="宋体" w:eastAsia="宋体"/>
          <w:color w:val="auto"/>
          <w:kern w:val="18"/>
          <w:szCs w:val="24"/>
          <w:highlight w:val="none"/>
        </w:rPr>
        <w:t>：</w:t>
      </w:r>
    </w:p>
    <w:p>
      <w:pPr>
        <w:kinsoku w:val="0"/>
        <w:spacing w:line="240" w:lineRule="auto"/>
        <w:ind w:right="29"/>
        <w:rPr>
          <w:rFonts w:ascii="宋体" w:hAnsi="宋体" w:eastAsia="宋体"/>
          <w:color w:val="auto"/>
          <w:kern w:val="18"/>
          <w:szCs w:val="24"/>
          <w:highlight w:val="none"/>
        </w:rPr>
      </w:pPr>
      <w:r>
        <w:rPr>
          <w:rFonts w:hint="eastAsia" w:ascii="宋体" w:hAnsi="宋体" w:eastAsia="宋体"/>
          <w:color w:val="auto"/>
          <w:kern w:val="18"/>
          <w:szCs w:val="24"/>
          <w:highlight w:val="none"/>
        </w:rPr>
        <w:t>（1）焊件的坡口型式尺寸应符合现行国标《手工电焊焊接接头的基本型式及尺寸》《</w:t>
      </w:r>
      <w:r>
        <w:rPr>
          <w:rFonts w:ascii="宋体" w:hAnsi="宋体" w:eastAsia="宋体"/>
          <w:color w:val="auto"/>
          <w:kern w:val="18"/>
          <w:szCs w:val="24"/>
          <w:highlight w:val="none"/>
        </w:rPr>
        <w:t>GB</w:t>
      </w:r>
      <w:r>
        <w:rPr>
          <w:rFonts w:hint="eastAsia" w:ascii="宋体" w:hAnsi="宋体" w:eastAsia="宋体"/>
          <w:color w:val="auto"/>
          <w:kern w:val="18"/>
          <w:szCs w:val="24"/>
          <w:highlight w:val="none"/>
        </w:rPr>
        <w:t>/T 985</w:t>
      </w:r>
      <w:r>
        <w:rPr>
          <w:rFonts w:ascii="宋体" w:hAnsi="宋体" w:eastAsia="宋体"/>
          <w:color w:val="auto"/>
          <w:kern w:val="18"/>
          <w:szCs w:val="24"/>
          <w:highlight w:val="none"/>
        </w:rPr>
        <w:t>-</w:t>
      </w:r>
      <w:r>
        <w:rPr>
          <w:rFonts w:hint="eastAsia" w:ascii="宋体" w:hAnsi="宋体" w:eastAsia="宋体"/>
          <w:color w:val="auto"/>
          <w:kern w:val="18"/>
          <w:szCs w:val="24"/>
          <w:highlight w:val="none"/>
        </w:rPr>
        <w:t>2008》及《焊剂层下自动焊与半自动焊焊接接头的基本形式与尺寸》《GB/T 985.2-2008》中的相应规定。</w:t>
      </w:r>
    </w:p>
    <w:p>
      <w:pPr>
        <w:kinsoku w:val="0"/>
        <w:spacing w:line="240" w:lineRule="auto"/>
        <w:ind w:right="29"/>
        <w:rPr>
          <w:rFonts w:ascii="宋体" w:hAnsi="宋体" w:eastAsia="宋体"/>
          <w:color w:val="auto"/>
          <w:kern w:val="18"/>
          <w:szCs w:val="24"/>
          <w:highlight w:val="none"/>
        </w:rPr>
      </w:pPr>
      <w:r>
        <w:rPr>
          <w:rFonts w:hint="eastAsia" w:ascii="宋体" w:hAnsi="宋体" w:eastAsia="宋体"/>
          <w:color w:val="auto"/>
          <w:kern w:val="18"/>
          <w:szCs w:val="24"/>
          <w:highlight w:val="none"/>
        </w:rPr>
        <w:t>（2）焊件的矫正、划线、切料以及焊接和焊缝质量应符合《焊接通用技术条件</w:t>
      </w:r>
      <w:r>
        <w:rPr>
          <w:rFonts w:ascii="宋体" w:hAnsi="宋体" w:eastAsia="宋体"/>
          <w:color w:val="auto"/>
          <w:kern w:val="18"/>
          <w:szCs w:val="24"/>
          <w:highlight w:val="none"/>
        </w:rPr>
        <w:t>（</w:t>
      </w:r>
      <w:r>
        <w:rPr>
          <w:rFonts w:hint="eastAsia" w:ascii="宋体" w:hAnsi="宋体" w:eastAsia="宋体"/>
          <w:color w:val="auto"/>
          <w:kern w:val="18"/>
          <w:szCs w:val="24"/>
          <w:highlight w:val="none"/>
        </w:rPr>
        <w:t>JB/T 5000.3-2007</w:t>
      </w:r>
      <w:r>
        <w:rPr>
          <w:rFonts w:ascii="宋体" w:hAnsi="宋体" w:eastAsia="宋体"/>
          <w:color w:val="auto"/>
          <w:kern w:val="18"/>
          <w:szCs w:val="24"/>
          <w:highlight w:val="none"/>
        </w:rPr>
        <w:t>）</w:t>
      </w:r>
      <w:r>
        <w:rPr>
          <w:rFonts w:hint="eastAsia" w:ascii="宋体" w:hAnsi="宋体" w:eastAsia="宋体"/>
          <w:color w:val="auto"/>
          <w:kern w:val="18"/>
          <w:szCs w:val="24"/>
          <w:highlight w:val="none"/>
        </w:rPr>
        <w:t>的规定》</w:t>
      </w:r>
      <w:r>
        <w:rPr>
          <w:rFonts w:ascii="宋体" w:hAnsi="宋体" w:eastAsia="宋体"/>
          <w:color w:val="auto"/>
          <w:kern w:val="18"/>
          <w:szCs w:val="24"/>
          <w:highlight w:val="none"/>
        </w:rPr>
        <w:t xml:space="preserve">  </w:t>
      </w:r>
      <w:r>
        <w:rPr>
          <w:rFonts w:hint="eastAsia" w:ascii="宋体" w:hAnsi="宋体" w:eastAsia="宋体"/>
          <w:color w:val="auto"/>
          <w:kern w:val="18"/>
          <w:szCs w:val="24"/>
          <w:highlight w:val="none"/>
        </w:rPr>
        <w:t>。</w:t>
      </w:r>
    </w:p>
    <w:p>
      <w:pPr>
        <w:kinsoku w:val="0"/>
        <w:spacing w:line="240" w:lineRule="auto"/>
        <w:ind w:right="29"/>
        <w:rPr>
          <w:rFonts w:ascii="宋体" w:hAnsi="宋体" w:eastAsia="宋体"/>
          <w:color w:val="auto"/>
          <w:kern w:val="18"/>
          <w:szCs w:val="24"/>
          <w:highlight w:val="none"/>
        </w:rPr>
      </w:pPr>
      <w:r>
        <w:rPr>
          <w:rFonts w:hint="eastAsia" w:ascii="宋体" w:hAnsi="宋体" w:eastAsia="宋体"/>
          <w:color w:val="auto"/>
          <w:kern w:val="18"/>
          <w:szCs w:val="24"/>
          <w:highlight w:val="none"/>
        </w:rPr>
        <w:t>（3）对焊缝有操作要求的，焊缝质量应符合《焊缝对线操作标准</w:t>
      </w:r>
      <w:r>
        <w:rPr>
          <w:rFonts w:ascii="宋体" w:hAnsi="宋体" w:eastAsia="宋体"/>
          <w:color w:val="auto"/>
          <w:kern w:val="18"/>
          <w:szCs w:val="24"/>
          <w:highlight w:val="none"/>
        </w:rPr>
        <w:t>（</w:t>
      </w:r>
      <w:r>
        <w:rPr>
          <w:rFonts w:hint="eastAsia" w:ascii="宋体" w:hAnsi="宋体" w:eastAsia="宋体"/>
          <w:color w:val="auto"/>
          <w:kern w:val="18"/>
          <w:szCs w:val="24"/>
          <w:highlight w:val="none"/>
        </w:rPr>
        <w:t>GB/T 3098.9-2010</w:t>
      </w:r>
      <w:r>
        <w:rPr>
          <w:rFonts w:ascii="宋体" w:hAnsi="宋体" w:eastAsia="宋体"/>
          <w:color w:val="auto"/>
          <w:kern w:val="18"/>
          <w:szCs w:val="24"/>
          <w:highlight w:val="none"/>
        </w:rPr>
        <w:t>）</w:t>
      </w:r>
      <w:r>
        <w:rPr>
          <w:rFonts w:hint="eastAsia" w:ascii="宋体" w:hAnsi="宋体" w:eastAsia="宋体"/>
          <w:color w:val="auto"/>
          <w:kern w:val="18"/>
          <w:szCs w:val="24"/>
          <w:highlight w:val="none"/>
        </w:rPr>
        <w:t>之规定》。</w:t>
      </w:r>
    </w:p>
    <w:p>
      <w:pPr>
        <w:kinsoku w:val="0"/>
        <w:spacing w:line="240" w:lineRule="auto"/>
        <w:ind w:right="29"/>
        <w:rPr>
          <w:rFonts w:ascii="宋体" w:hAnsi="宋体" w:eastAsia="宋体"/>
          <w:color w:val="auto"/>
          <w:kern w:val="18"/>
          <w:szCs w:val="24"/>
          <w:highlight w:val="none"/>
        </w:rPr>
      </w:pPr>
      <w:r>
        <w:rPr>
          <w:rFonts w:hint="eastAsia" w:ascii="宋体" w:hAnsi="宋体" w:eastAsia="宋体"/>
          <w:color w:val="auto"/>
          <w:kern w:val="18"/>
          <w:szCs w:val="24"/>
          <w:highlight w:val="none"/>
        </w:rPr>
        <w:t>（4）在机械加工前，所有焊接体应进行热处理以消除其中残余的应力。</w:t>
      </w:r>
    </w:p>
    <w:p>
      <w:pPr>
        <w:kinsoku w:val="0"/>
        <w:spacing w:line="240" w:lineRule="auto"/>
        <w:ind w:right="29"/>
        <w:rPr>
          <w:rFonts w:hint="eastAsia" w:ascii="宋体" w:hAnsi="宋体" w:eastAsia="宋体"/>
          <w:color w:val="auto"/>
          <w:kern w:val="18"/>
          <w:szCs w:val="24"/>
          <w:highlight w:val="none"/>
        </w:rPr>
      </w:pPr>
    </w:p>
    <w:p>
      <w:pPr>
        <w:kinsoku w:val="0"/>
        <w:spacing w:line="240" w:lineRule="auto"/>
        <w:ind w:right="29"/>
        <w:rPr>
          <w:rFonts w:ascii="宋体" w:hAnsi="宋体" w:eastAsia="宋体"/>
          <w:b/>
          <w:color w:val="auto"/>
          <w:kern w:val="18"/>
          <w:szCs w:val="24"/>
          <w:highlight w:val="none"/>
        </w:rPr>
      </w:pPr>
      <w:r>
        <w:rPr>
          <w:rFonts w:hint="eastAsia" w:ascii="宋体" w:hAnsi="宋体" w:eastAsia="宋体"/>
          <w:b/>
          <w:color w:val="auto"/>
          <w:kern w:val="18"/>
          <w:szCs w:val="24"/>
          <w:highlight w:val="none"/>
        </w:rPr>
        <w:t>锻件：</w:t>
      </w:r>
    </w:p>
    <w:p>
      <w:pPr>
        <w:kinsoku w:val="0"/>
        <w:spacing w:line="240" w:lineRule="auto"/>
        <w:ind w:right="29" w:firstLine="360" w:firstLineChars="150"/>
        <w:rPr>
          <w:rFonts w:ascii="宋体" w:hAnsi="宋体" w:eastAsia="宋体"/>
          <w:color w:val="auto"/>
          <w:kern w:val="18"/>
          <w:szCs w:val="24"/>
          <w:highlight w:val="none"/>
        </w:rPr>
      </w:pPr>
      <w:r>
        <w:rPr>
          <w:rFonts w:hint="eastAsia" w:ascii="宋体" w:hAnsi="宋体" w:eastAsia="宋体"/>
          <w:color w:val="auto"/>
          <w:kern w:val="18"/>
          <w:szCs w:val="24"/>
          <w:highlight w:val="none"/>
        </w:rPr>
        <w:t>设备选用的锻件应满足设备结构及功能要求，并符合国家或部颁现行《锻件通用技术条件》之规定。</w:t>
      </w:r>
    </w:p>
    <w:p>
      <w:pPr>
        <w:kinsoku w:val="0"/>
        <w:spacing w:line="240" w:lineRule="auto"/>
        <w:ind w:right="29"/>
        <w:rPr>
          <w:rFonts w:hint="eastAsia" w:ascii="宋体" w:hAnsi="宋体" w:eastAsia="宋体"/>
          <w:color w:val="auto"/>
          <w:kern w:val="18"/>
          <w:szCs w:val="24"/>
          <w:highlight w:val="none"/>
        </w:rPr>
      </w:pPr>
    </w:p>
    <w:p>
      <w:pPr>
        <w:kinsoku w:val="0"/>
        <w:spacing w:line="240" w:lineRule="auto"/>
        <w:ind w:right="29"/>
        <w:rPr>
          <w:rFonts w:ascii="宋体" w:hAnsi="宋体" w:eastAsia="宋体"/>
          <w:b/>
          <w:color w:val="auto"/>
          <w:kern w:val="18"/>
          <w:szCs w:val="24"/>
          <w:highlight w:val="none"/>
        </w:rPr>
      </w:pPr>
      <w:r>
        <w:rPr>
          <w:rFonts w:hint="eastAsia" w:ascii="宋体" w:hAnsi="宋体" w:eastAsia="宋体"/>
          <w:b/>
          <w:color w:val="auto"/>
          <w:kern w:val="18"/>
          <w:szCs w:val="24"/>
          <w:highlight w:val="none"/>
        </w:rPr>
        <w:t>固定螺栓：</w:t>
      </w:r>
    </w:p>
    <w:p>
      <w:pPr>
        <w:kinsoku w:val="0"/>
        <w:spacing w:line="240" w:lineRule="auto"/>
        <w:ind w:right="29" w:firstLine="360" w:firstLineChars="150"/>
        <w:rPr>
          <w:rFonts w:ascii="宋体" w:hAnsi="宋体" w:eastAsia="宋体"/>
          <w:color w:val="auto"/>
          <w:kern w:val="18"/>
          <w:szCs w:val="24"/>
          <w:highlight w:val="none"/>
        </w:rPr>
      </w:pPr>
      <w:r>
        <w:rPr>
          <w:rFonts w:hint="eastAsia" w:ascii="宋体" w:hAnsi="宋体" w:eastAsia="宋体"/>
          <w:color w:val="auto"/>
          <w:kern w:val="18"/>
          <w:szCs w:val="24"/>
          <w:highlight w:val="none"/>
        </w:rPr>
        <w:t>采用满足性能设计的现行</w:t>
      </w:r>
      <w:r>
        <w:rPr>
          <w:rFonts w:ascii="宋体" w:hAnsi="宋体" w:eastAsia="宋体"/>
          <w:color w:val="auto"/>
          <w:kern w:val="18"/>
          <w:szCs w:val="24"/>
          <w:highlight w:val="none"/>
        </w:rPr>
        <w:t>GB</w:t>
      </w:r>
      <w:r>
        <w:rPr>
          <w:rFonts w:hint="eastAsia" w:ascii="宋体" w:hAnsi="宋体" w:eastAsia="宋体"/>
          <w:color w:val="auto"/>
          <w:kern w:val="18"/>
          <w:szCs w:val="24"/>
          <w:highlight w:val="none"/>
        </w:rPr>
        <w:t>标准或者</w:t>
      </w:r>
      <w:r>
        <w:rPr>
          <w:rFonts w:ascii="宋体" w:hAnsi="宋体" w:eastAsia="宋体"/>
          <w:color w:val="auto"/>
          <w:kern w:val="18"/>
          <w:szCs w:val="24"/>
          <w:highlight w:val="none"/>
        </w:rPr>
        <w:t>JB</w:t>
      </w:r>
      <w:r>
        <w:rPr>
          <w:rFonts w:hint="eastAsia" w:ascii="宋体" w:hAnsi="宋体" w:eastAsia="宋体"/>
          <w:color w:val="auto"/>
          <w:kern w:val="18"/>
          <w:szCs w:val="24"/>
          <w:highlight w:val="none"/>
        </w:rPr>
        <w:t>标准的螺</w:t>
      </w:r>
      <w:r>
        <w:rPr>
          <w:rFonts w:hint="eastAsia" w:ascii="宋体" w:hAnsi="宋体" w:eastAsia="宋体"/>
          <w:color w:val="auto"/>
          <w:kern w:val="18"/>
          <w:szCs w:val="24"/>
          <w:highlight w:val="none"/>
          <w:lang w:val="en-US" w:eastAsia="zh-CN"/>
        </w:rPr>
        <w:t>母</w:t>
      </w:r>
      <w:r>
        <w:rPr>
          <w:rFonts w:hint="eastAsia" w:ascii="宋体" w:hAnsi="宋体" w:eastAsia="宋体"/>
          <w:color w:val="auto"/>
          <w:kern w:val="18"/>
          <w:szCs w:val="24"/>
          <w:highlight w:val="none"/>
        </w:rPr>
        <w:t>、螺栓和垫圈</w:t>
      </w:r>
      <w:r>
        <w:rPr>
          <w:rFonts w:hint="eastAsia" w:ascii="宋体" w:hAnsi="宋体" w:eastAsia="宋体"/>
          <w:color w:val="auto"/>
          <w:kern w:val="18"/>
          <w:szCs w:val="24"/>
          <w:highlight w:val="none"/>
          <w:lang w:val="en-US" w:eastAsia="zh-CN"/>
        </w:rPr>
        <w:t>等紧固件</w:t>
      </w:r>
      <w:r>
        <w:rPr>
          <w:rFonts w:ascii="宋体" w:hAnsi="宋体" w:eastAsia="宋体"/>
          <w:color w:val="auto"/>
          <w:kern w:val="18"/>
          <w:szCs w:val="24"/>
          <w:highlight w:val="none"/>
        </w:rPr>
        <w:t xml:space="preserve"> </w:t>
      </w:r>
      <w:r>
        <w:rPr>
          <w:rFonts w:hint="eastAsia" w:ascii="宋体" w:hAnsi="宋体" w:eastAsia="宋体"/>
          <w:color w:val="auto"/>
          <w:kern w:val="18"/>
          <w:szCs w:val="24"/>
          <w:highlight w:val="none"/>
        </w:rPr>
        <w:t>。螺帽、螺栓用在压力配件的，必须用优质钢材。螺栓的长度须保证在螺帽紧固后露出二个牙，安装好的螺栓须占满孔洞，但须保证在紧固时不损伤螺纹。为现场准确组装，应该标出明显位置，应使用垫圈、锁件的防震件以确保螺栓不产生弯曲应力。当可能引起生锈时，螺栓和螺杆的设计须保证在任何情况下，螺栓的最大应力不超过材料应力的一半。须提供所有地脚螺栓、压架螺栓、固定螺栓垫圈、螺帽以满足安装和装配要求。</w:t>
      </w:r>
      <w:r>
        <w:rPr>
          <w:rFonts w:ascii="宋体" w:hAnsi="宋体" w:eastAsia="宋体"/>
          <w:color w:val="auto"/>
          <w:kern w:val="18"/>
          <w:szCs w:val="24"/>
          <w:highlight w:val="none"/>
        </w:rPr>
        <w:t xml:space="preserve"> </w:t>
      </w:r>
    </w:p>
    <w:p>
      <w:pPr>
        <w:kinsoku w:val="0"/>
        <w:spacing w:line="240" w:lineRule="auto"/>
        <w:ind w:right="29"/>
        <w:rPr>
          <w:rFonts w:hint="eastAsia" w:ascii="宋体" w:hAnsi="宋体" w:eastAsia="宋体"/>
          <w:b/>
          <w:color w:val="auto"/>
          <w:kern w:val="18"/>
          <w:szCs w:val="24"/>
          <w:highlight w:val="none"/>
        </w:rPr>
      </w:pPr>
    </w:p>
    <w:p>
      <w:pPr>
        <w:kinsoku w:val="0"/>
        <w:spacing w:line="240" w:lineRule="auto"/>
        <w:ind w:right="29"/>
        <w:rPr>
          <w:rFonts w:ascii="宋体" w:hAnsi="宋体" w:eastAsia="宋体"/>
          <w:b/>
          <w:color w:val="auto"/>
          <w:kern w:val="18"/>
          <w:szCs w:val="24"/>
          <w:highlight w:val="none"/>
        </w:rPr>
      </w:pPr>
      <w:r>
        <w:rPr>
          <w:rFonts w:hint="eastAsia" w:ascii="宋体" w:hAnsi="宋体" w:eastAsia="宋体"/>
          <w:b/>
          <w:color w:val="auto"/>
          <w:kern w:val="18"/>
          <w:szCs w:val="24"/>
          <w:highlight w:val="none"/>
        </w:rPr>
        <w:t>安全防护：</w:t>
      </w:r>
    </w:p>
    <w:p>
      <w:pPr>
        <w:kinsoku w:val="0"/>
        <w:spacing w:line="240" w:lineRule="auto"/>
        <w:ind w:right="29" w:firstLine="480" w:firstLineChars="200"/>
        <w:rPr>
          <w:rFonts w:ascii="宋体" w:hAnsi="宋体" w:eastAsia="宋体"/>
          <w:color w:val="auto"/>
          <w:kern w:val="18"/>
          <w:szCs w:val="24"/>
          <w:highlight w:val="none"/>
        </w:rPr>
      </w:pPr>
      <w:r>
        <w:rPr>
          <w:rFonts w:hint="eastAsia" w:ascii="宋体" w:hAnsi="宋体" w:eastAsia="宋体"/>
          <w:color w:val="auto"/>
          <w:kern w:val="18"/>
          <w:szCs w:val="24"/>
          <w:highlight w:val="none"/>
        </w:rPr>
        <w:t>供货商应负责所有设备的安全性。安装布置图和设备设计不许把产品安装在对常规运行和维修人员有害的位置。高温管、透气口和旋转机械的位置应格外注意。所有正常工作条件下温度超过</w:t>
      </w:r>
      <w:r>
        <w:rPr>
          <w:rFonts w:ascii="宋体" w:hAnsi="宋体" w:eastAsia="宋体"/>
          <w:color w:val="auto"/>
          <w:kern w:val="18"/>
          <w:szCs w:val="24"/>
          <w:highlight w:val="none"/>
        </w:rPr>
        <w:t xml:space="preserve"> 600</w:t>
      </w:r>
      <w:r>
        <w:rPr>
          <w:rFonts w:hint="eastAsia" w:ascii="宋体" w:hAnsi="宋体" w:eastAsia="宋体"/>
          <w:color w:val="auto"/>
          <w:kern w:val="18"/>
          <w:szCs w:val="24"/>
          <w:highlight w:val="none"/>
        </w:rPr>
        <w:t>℃或低于</w:t>
      </w:r>
      <w:r>
        <w:rPr>
          <w:rFonts w:ascii="宋体" w:hAnsi="宋体" w:eastAsia="宋体"/>
          <w:color w:val="auto"/>
          <w:kern w:val="18"/>
          <w:szCs w:val="24"/>
          <w:highlight w:val="none"/>
        </w:rPr>
        <w:t>-50</w:t>
      </w:r>
      <w:r>
        <w:rPr>
          <w:rFonts w:hint="eastAsia" w:ascii="宋体" w:hAnsi="宋体" w:eastAsia="宋体"/>
          <w:color w:val="auto"/>
          <w:kern w:val="18"/>
          <w:szCs w:val="24"/>
          <w:highlight w:val="none"/>
        </w:rPr>
        <w:t>℃的部分都应敷设适当的栅栏或者应该用隔热材料进行防护。所有带电导体，包括组成电器设备部分的导体都应进行绝缘处理或用栅栏隔离或者把它安装在可以防止危险发生的地方。防护体应用软钢丝或延展型薄钢板制作，应该采用以软薄钢板完全封闭的形式。所有旋转轴、联节器、齿轮、飞轮、皮带轮和其它旋转部件应设完全防护罩。防护罩的设计应能使人容易接近轴承、润滑油脂加注点、温度测量和其它检查点，以便操作人员在不需拆除防护体的情况下，能安全进行日常观察、维护保养。防护体不能被随意拆除或移动，要求用螺栓固定。所有用来制作防护体的软钢包括螺栓、螺帽、垫圈以及支架都应进行热浸电镀，有特别要求的除外。安全防护体的图纸应在施工之前提交发包人批准。</w:t>
      </w:r>
    </w:p>
    <w:p>
      <w:pPr>
        <w:kinsoku w:val="0"/>
        <w:spacing w:line="240" w:lineRule="auto"/>
        <w:ind w:right="29"/>
        <w:rPr>
          <w:rFonts w:hint="eastAsia" w:ascii="宋体" w:hAnsi="宋体" w:eastAsia="宋体"/>
          <w:color w:val="auto"/>
          <w:kern w:val="18"/>
          <w:szCs w:val="24"/>
          <w:highlight w:val="none"/>
        </w:rPr>
      </w:pPr>
    </w:p>
    <w:p>
      <w:pPr>
        <w:kinsoku w:val="0"/>
        <w:spacing w:line="240" w:lineRule="auto"/>
        <w:ind w:right="29"/>
        <w:rPr>
          <w:rFonts w:ascii="宋体" w:hAnsi="宋体" w:eastAsia="宋体"/>
          <w:b/>
          <w:color w:val="auto"/>
          <w:kern w:val="18"/>
          <w:szCs w:val="24"/>
          <w:highlight w:val="none"/>
        </w:rPr>
      </w:pPr>
      <w:r>
        <w:rPr>
          <w:rFonts w:hint="eastAsia" w:ascii="宋体" w:hAnsi="宋体" w:eastAsia="宋体"/>
          <w:b/>
          <w:color w:val="auto"/>
          <w:kern w:val="18"/>
          <w:szCs w:val="24"/>
          <w:highlight w:val="none"/>
        </w:rPr>
        <w:t>其它：</w:t>
      </w:r>
    </w:p>
    <w:p>
      <w:pPr>
        <w:kinsoku w:val="0"/>
        <w:spacing w:line="240" w:lineRule="auto"/>
        <w:ind w:right="29" w:firstLine="360" w:firstLineChars="150"/>
        <w:rPr>
          <w:rFonts w:ascii="宋体" w:hAnsi="宋体" w:eastAsia="宋体"/>
          <w:color w:val="auto"/>
          <w:kern w:val="18"/>
          <w:szCs w:val="24"/>
          <w:highlight w:val="none"/>
        </w:rPr>
      </w:pPr>
      <w:r>
        <w:rPr>
          <w:rFonts w:hint="eastAsia" w:ascii="宋体" w:hAnsi="宋体" w:eastAsia="宋体"/>
          <w:color w:val="auto"/>
          <w:kern w:val="18"/>
          <w:szCs w:val="24"/>
          <w:highlight w:val="none"/>
        </w:rPr>
        <w:t>除非特别说明，设备的润滑、金属制品的除锈涂漆与防护、铭牌、标签和警示、防潮措施、表面保护及设备颜色除满足设备结构特点及功能要求外，应符合国家或部颁现行有关标准、规范或技术条件。</w:t>
      </w:r>
    </w:p>
    <w:p>
      <w:pPr>
        <w:kinsoku w:val="0"/>
        <w:spacing w:line="240" w:lineRule="auto"/>
        <w:ind w:right="29"/>
        <w:rPr>
          <w:rFonts w:ascii="宋体" w:hAnsi="宋体" w:eastAsia="宋体"/>
          <w:color w:val="auto"/>
          <w:kern w:val="18"/>
          <w:szCs w:val="24"/>
          <w:highlight w:val="none"/>
        </w:rPr>
      </w:pPr>
      <w:r>
        <w:rPr>
          <w:rFonts w:hint="eastAsia" w:ascii="宋体" w:hAnsi="宋体" w:eastAsia="宋体"/>
          <w:color w:val="auto"/>
          <w:kern w:val="18"/>
          <w:szCs w:val="24"/>
          <w:highlight w:val="none"/>
        </w:rPr>
        <w:t>设备的噪音和振动、制造厂家的检验和测试，应符合中华人民共和国国家现行有关标准和验收规则或条例。</w:t>
      </w:r>
    </w:p>
    <w:p>
      <w:pPr>
        <w:kinsoku w:val="0"/>
        <w:spacing w:line="240" w:lineRule="auto"/>
        <w:ind w:right="29" w:firstLine="360" w:firstLineChars="150"/>
        <w:rPr>
          <w:rFonts w:ascii="宋体" w:hAnsi="宋体" w:eastAsia="宋体"/>
          <w:color w:val="auto"/>
          <w:kern w:val="18"/>
          <w:szCs w:val="24"/>
          <w:highlight w:val="none"/>
        </w:rPr>
      </w:pPr>
      <w:r>
        <w:rPr>
          <w:rFonts w:hint="eastAsia" w:ascii="宋体" w:hAnsi="宋体" w:eastAsia="宋体"/>
          <w:color w:val="auto"/>
          <w:kern w:val="18"/>
          <w:szCs w:val="24"/>
          <w:highlight w:val="none"/>
        </w:rPr>
        <w:t>供货商应提供所有设备润滑油的品牌、数量表。</w:t>
      </w:r>
    </w:p>
    <w:p>
      <w:pPr>
        <w:spacing w:line="240" w:lineRule="auto"/>
        <w:rPr>
          <w:rFonts w:ascii="宋体" w:hAnsi="宋体" w:eastAsia="宋体"/>
          <w:caps/>
          <w:color w:val="auto"/>
          <w:szCs w:val="24"/>
          <w:highlight w:val="none"/>
        </w:rPr>
      </w:pPr>
      <w:bookmarkStart w:id="12" w:name="_Toc82918349"/>
      <w:bookmarkStart w:id="13" w:name="_Toc486072134"/>
      <w:r>
        <w:rPr>
          <w:rFonts w:hint="eastAsia" w:ascii="宋体" w:hAnsi="宋体" w:eastAsia="宋体"/>
          <w:color w:val="auto"/>
          <w:szCs w:val="24"/>
          <w:highlight w:val="none"/>
        </w:rPr>
        <w:t xml:space="preserve">          </w:t>
      </w:r>
    </w:p>
    <w:bookmarkEnd w:id="12"/>
    <w:bookmarkEnd w:id="13"/>
    <w:p>
      <w:pPr>
        <w:spacing w:line="240" w:lineRule="auto"/>
        <w:rPr>
          <w:rFonts w:ascii="宋体" w:hAnsi="宋体" w:eastAsia="宋体"/>
          <w:color w:val="auto"/>
          <w:highlight w:val="none"/>
        </w:rPr>
      </w:pPr>
      <w:r>
        <w:rPr>
          <w:rFonts w:hint="eastAsia" w:ascii="宋体" w:hAnsi="宋体" w:eastAsia="宋体"/>
          <w:color w:val="auto"/>
          <w:highlight w:val="none"/>
        </w:rPr>
        <w:t>5. 其它</w:t>
      </w:r>
    </w:p>
    <w:p>
      <w:pPr>
        <w:pStyle w:val="50"/>
        <w:spacing w:line="240" w:lineRule="auto"/>
        <w:rPr>
          <w:rFonts w:hint="eastAsia" w:ascii="宋体" w:hAnsi="宋体" w:eastAsia="宋体"/>
          <w:color w:val="auto"/>
          <w:highlight w:val="none"/>
        </w:rPr>
      </w:pPr>
      <w:r>
        <w:rPr>
          <w:rFonts w:hint="eastAsia" w:ascii="宋体" w:hAnsi="宋体" w:eastAsia="宋体"/>
          <w:color w:val="auto"/>
          <w:highlight w:val="none"/>
        </w:rPr>
        <w:t>1）</w:t>
      </w:r>
      <w:r>
        <w:rPr>
          <w:rFonts w:hint="eastAsia" w:ascii="宋体" w:hAnsi="宋体" w:eastAsia="宋体"/>
          <w:color w:val="auto"/>
          <w:highlight w:val="none"/>
          <w:lang w:eastAsia="zh-CN"/>
        </w:rPr>
        <w:t>、</w:t>
      </w:r>
      <w:r>
        <w:rPr>
          <w:rFonts w:hint="eastAsia" w:ascii="宋体" w:hAnsi="宋体" w:eastAsia="宋体"/>
          <w:color w:val="auto"/>
          <w:highlight w:val="none"/>
        </w:rPr>
        <w:t>提供随机配备满足设备性能必需的附件清单；</w:t>
      </w:r>
    </w:p>
    <w:p>
      <w:pPr>
        <w:pStyle w:val="50"/>
        <w:spacing w:line="240" w:lineRule="auto"/>
        <w:rPr>
          <w:rFonts w:hint="eastAsia" w:ascii="宋体" w:hAnsi="宋体" w:eastAsia="宋体"/>
          <w:color w:val="auto"/>
          <w:highlight w:val="none"/>
        </w:rPr>
      </w:pPr>
      <w:r>
        <w:rPr>
          <w:rFonts w:hint="eastAsia" w:ascii="宋体" w:hAnsi="宋体" w:eastAsia="宋体"/>
          <w:color w:val="auto"/>
          <w:highlight w:val="none"/>
        </w:rPr>
        <w:t>2</w:t>
      </w:r>
      <w:r>
        <w:rPr>
          <w:rFonts w:hint="eastAsia" w:ascii="宋体" w:hAnsi="宋体" w:eastAsia="宋体"/>
          <w:color w:val="auto"/>
          <w:highlight w:val="none"/>
          <w:lang w:eastAsia="zh-CN"/>
        </w:rPr>
        <w:t>)</w:t>
      </w:r>
      <w:r>
        <w:rPr>
          <w:rFonts w:hint="eastAsia" w:ascii="宋体" w:hAnsi="宋体" w:eastAsia="宋体"/>
          <w:color w:val="auto"/>
          <w:highlight w:val="none"/>
        </w:rPr>
        <w:t>、满足设备调试及试运转必需的随机备件及易损件清单；</w:t>
      </w:r>
    </w:p>
    <w:p>
      <w:pPr>
        <w:pStyle w:val="50"/>
        <w:spacing w:line="240" w:lineRule="auto"/>
        <w:rPr>
          <w:rFonts w:hint="eastAsia" w:ascii="宋体" w:hAnsi="宋体" w:eastAsia="宋体"/>
          <w:bCs/>
          <w:color w:val="auto"/>
          <w:szCs w:val="24"/>
          <w:highlight w:val="none"/>
        </w:rPr>
      </w:pPr>
      <w:r>
        <w:rPr>
          <w:rFonts w:hint="eastAsia" w:ascii="宋体" w:hAnsi="宋体" w:eastAsia="宋体"/>
          <w:color w:val="auto"/>
          <w:highlight w:val="none"/>
        </w:rPr>
        <w:t>3</w:t>
      </w:r>
      <w:r>
        <w:rPr>
          <w:rFonts w:hint="eastAsia" w:ascii="宋体" w:hAnsi="宋体" w:eastAsia="宋体"/>
          <w:color w:val="auto"/>
          <w:highlight w:val="none"/>
          <w:lang w:eastAsia="zh-CN"/>
        </w:rPr>
        <w:t>)</w:t>
      </w:r>
      <w:r>
        <w:rPr>
          <w:rFonts w:hint="eastAsia" w:ascii="宋体" w:hAnsi="宋体" w:eastAsia="宋体"/>
          <w:color w:val="auto"/>
          <w:highlight w:val="none"/>
        </w:rPr>
        <w:t>、关键外购件的制造商名称；</w:t>
      </w:r>
    </w:p>
    <w:p>
      <w:pPr>
        <w:pStyle w:val="50"/>
        <w:spacing w:line="240" w:lineRule="auto"/>
        <w:rPr>
          <w:rFonts w:hint="eastAsia" w:ascii="宋体" w:hAnsi="宋体" w:eastAsia="宋体"/>
          <w:color w:val="auto"/>
          <w:highlight w:val="none"/>
        </w:rPr>
      </w:pPr>
      <w:r>
        <w:rPr>
          <w:rFonts w:hint="eastAsia" w:ascii="宋体" w:hAnsi="宋体" w:eastAsia="宋体"/>
          <w:color w:val="auto"/>
          <w:highlight w:val="none"/>
        </w:rPr>
        <w:t>4</w:t>
      </w:r>
      <w:r>
        <w:rPr>
          <w:rFonts w:hint="eastAsia" w:ascii="宋体" w:hAnsi="宋体" w:eastAsia="宋体"/>
          <w:color w:val="auto"/>
          <w:highlight w:val="none"/>
          <w:lang w:eastAsia="zh-CN"/>
        </w:rPr>
        <w:t>)</w:t>
      </w:r>
      <w:r>
        <w:rPr>
          <w:rFonts w:hint="eastAsia" w:ascii="宋体" w:hAnsi="宋体" w:eastAsia="宋体"/>
          <w:color w:val="auto"/>
          <w:highlight w:val="none"/>
        </w:rPr>
        <w:t>、同类</w:t>
      </w:r>
      <w:r>
        <w:rPr>
          <w:rFonts w:hint="eastAsia" w:ascii="宋体" w:hAnsi="宋体" w:eastAsia="宋体"/>
          <w:color w:val="auto"/>
          <w:highlight w:val="none"/>
          <w:lang w:val="en-US" w:eastAsia="zh-CN"/>
        </w:rPr>
        <w:t>设备</w:t>
      </w:r>
      <w:r>
        <w:rPr>
          <w:rFonts w:hint="eastAsia" w:ascii="宋体" w:hAnsi="宋体" w:eastAsia="宋体"/>
          <w:color w:val="auto"/>
          <w:highlight w:val="none"/>
        </w:rPr>
        <w:t>的使用业绩、本次投标有何改进；</w:t>
      </w:r>
    </w:p>
    <w:p>
      <w:pPr>
        <w:pStyle w:val="50"/>
        <w:spacing w:line="240" w:lineRule="auto"/>
        <w:rPr>
          <w:rFonts w:hint="eastAsia" w:ascii="宋体" w:hAnsi="宋体" w:eastAsia="宋体"/>
          <w:color w:val="auto"/>
          <w:highlight w:val="none"/>
        </w:rPr>
      </w:pPr>
      <w:r>
        <w:rPr>
          <w:rFonts w:hint="eastAsia" w:ascii="宋体" w:hAnsi="宋体" w:eastAsia="宋体"/>
          <w:color w:val="auto"/>
          <w:highlight w:val="none"/>
        </w:rPr>
        <w:t>5</w:t>
      </w:r>
      <w:r>
        <w:rPr>
          <w:rFonts w:hint="eastAsia" w:ascii="宋体" w:hAnsi="宋体" w:eastAsia="宋体"/>
          <w:color w:val="auto"/>
          <w:highlight w:val="none"/>
          <w:lang w:eastAsia="zh-CN"/>
        </w:rPr>
        <w:t>)</w:t>
      </w:r>
      <w:r>
        <w:rPr>
          <w:rFonts w:hint="eastAsia" w:ascii="宋体" w:hAnsi="宋体" w:eastAsia="宋体"/>
          <w:color w:val="auto"/>
          <w:highlight w:val="none"/>
        </w:rPr>
        <w:t>、投标时需提供满足设计要求的技术文件和图纸；</w:t>
      </w:r>
    </w:p>
    <w:p>
      <w:pPr>
        <w:pStyle w:val="50"/>
        <w:spacing w:line="240" w:lineRule="auto"/>
        <w:rPr>
          <w:rFonts w:hint="eastAsia" w:ascii="宋体" w:hAnsi="宋体" w:eastAsia="宋体"/>
          <w:color w:val="auto"/>
          <w:highlight w:val="none"/>
        </w:rPr>
      </w:pPr>
      <w:r>
        <w:rPr>
          <w:rFonts w:hint="eastAsia" w:ascii="宋体" w:hAnsi="宋体" w:eastAsia="宋体"/>
          <w:color w:val="auto"/>
          <w:highlight w:val="none"/>
        </w:rPr>
        <w:t>6</w:t>
      </w:r>
      <w:r>
        <w:rPr>
          <w:rFonts w:hint="eastAsia" w:ascii="宋体" w:hAnsi="宋体" w:eastAsia="宋体"/>
          <w:color w:val="auto"/>
          <w:highlight w:val="none"/>
          <w:lang w:eastAsia="zh-CN"/>
        </w:rPr>
        <w:t>)</w:t>
      </w:r>
      <w:r>
        <w:rPr>
          <w:rFonts w:hint="eastAsia" w:ascii="宋体" w:hAnsi="宋体" w:eastAsia="宋体"/>
          <w:color w:val="auto"/>
          <w:highlight w:val="none"/>
        </w:rPr>
        <w:t>、投标时需提供电子版标书</w:t>
      </w:r>
      <w:bookmarkStart w:id="14" w:name="_Toc494790062"/>
      <w:bookmarkStart w:id="15" w:name="_Toc103849252"/>
      <w:bookmarkStart w:id="16" w:name="_Toc486076258"/>
      <w:r>
        <w:rPr>
          <w:rFonts w:hint="eastAsia" w:ascii="宋体" w:hAnsi="宋体" w:eastAsia="宋体"/>
          <w:color w:val="auto"/>
          <w:highlight w:val="none"/>
        </w:rPr>
        <w:t>；</w:t>
      </w:r>
    </w:p>
    <w:p>
      <w:pPr>
        <w:spacing w:line="240" w:lineRule="auto"/>
        <w:ind w:left="480" w:leftChars="200"/>
        <w:rPr>
          <w:rFonts w:ascii="宋体" w:hAnsi="宋体" w:eastAsia="宋体"/>
          <w:color w:val="auto"/>
          <w:highlight w:val="none"/>
        </w:rPr>
      </w:pPr>
      <w:r>
        <w:rPr>
          <w:rFonts w:hint="eastAsia" w:ascii="宋体" w:hAnsi="宋体" w:eastAsia="宋体"/>
          <w:color w:val="auto"/>
          <w:highlight w:val="none"/>
        </w:rPr>
        <w:t>7)、除本招标文件所规定的资料内容外，卖方在其投标文件中应提供下列资料：</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样本；</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卖方提供的机械、电气和仪表的性能简介；</w:t>
      </w:r>
    </w:p>
    <w:p>
      <w:pPr>
        <w:spacing w:line="240" w:lineRule="auto"/>
        <w:ind w:left="480" w:hanging="480" w:hangingChars="200"/>
        <w:rPr>
          <w:rFonts w:ascii="宋体" w:hAnsi="宋体" w:eastAsia="宋体"/>
          <w:strike w:val="0"/>
          <w:dstrike w:val="0"/>
          <w:color w:val="auto"/>
          <w:highlight w:val="none"/>
        </w:rPr>
      </w:pPr>
      <w:r>
        <w:rPr>
          <w:rFonts w:ascii="宋体" w:hAnsi="宋体" w:eastAsia="宋体"/>
          <w:strike w:val="0"/>
          <w:dstrike w:val="0"/>
          <w:color w:val="auto"/>
          <w:highlight w:val="none"/>
        </w:rPr>
        <w:t xml:space="preserve">    —</w:t>
      </w:r>
      <w:r>
        <w:rPr>
          <w:rFonts w:hint="eastAsia" w:ascii="宋体" w:hAnsi="宋体" w:eastAsia="宋体"/>
          <w:strike w:val="0"/>
          <w:dstrike w:val="0"/>
          <w:color w:val="auto"/>
          <w:highlight w:val="none"/>
        </w:rPr>
        <w:t>初步布置图；</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卖方提供的所有设备清单；</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仪表图和联锁图；</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设备性能曲线以及对业主采购的其它的相关设备的性能要求；</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重量清单；</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仪表清单；</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备品备件清单和专用工具清单；</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卖方采用的规范和标准清单；</w:t>
      </w:r>
    </w:p>
    <w:p>
      <w:pPr>
        <w:spacing w:line="240" w:lineRule="auto"/>
        <w:ind w:left="480" w:hanging="480" w:hangingChars="200"/>
        <w:rPr>
          <w:rFonts w:hint="eastAsia"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本招标文件所要求的各种技术性能和参数；</w:t>
      </w:r>
    </w:p>
    <w:p>
      <w:pPr>
        <w:spacing w:line="240" w:lineRule="auto"/>
        <w:ind w:left="480" w:leftChars="200"/>
        <w:rPr>
          <w:rFonts w:ascii="宋体" w:hAnsi="宋体" w:eastAsia="宋体"/>
          <w:color w:val="auto"/>
          <w:highlight w:val="none"/>
        </w:rPr>
      </w:pPr>
      <w:r>
        <w:rPr>
          <w:rFonts w:ascii="宋体" w:hAnsi="宋体" w:eastAsia="宋体"/>
          <w:color w:val="auto"/>
          <w:highlight w:val="none"/>
        </w:rPr>
        <w:t>—</w:t>
      </w:r>
      <w:r>
        <w:rPr>
          <w:rFonts w:hint="eastAsia" w:ascii="宋体" w:hAnsi="宋体" w:eastAsia="宋体"/>
          <w:color w:val="auto"/>
          <w:highlight w:val="none"/>
        </w:rPr>
        <w:t>买方鼓励卖方在买方要求之外，增加有特殊性能的技术数据和资料；</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对买方提供的方案、设备或仪表性能参数所做修改的建议，卖方应做充分的解释；</w:t>
      </w:r>
    </w:p>
    <w:p>
      <w:pPr>
        <w:spacing w:line="240" w:lineRule="auto"/>
        <w:ind w:left="480" w:hanging="480" w:hangingChars="200"/>
        <w:rPr>
          <w:rFonts w:ascii="宋体" w:hAnsi="宋体" w:eastAsia="宋体"/>
          <w:color w:val="auto"/>
          <w:highlight w:val="none"/>
        </w:rPr>
      </w:pPr>
      <w:r>
        <w:rPr>
          <w:rFonts w:ascii="宋体" w:hAnsi="宋体" w:eastAsia="宋体"/>
          <w:color w:val="auto"/>
          <w:highlight w:val="none"/>
        </w:rPr>
        <w:t xml:space="preserve">    —</w:t>
      </w:r>
      <w:r>
        <w:rPr>
          <w:rFonts w:hint="eastAsia" w:ascii="宋体" w:hAnsi="宋体" w:eastAsia="宋体"/>
          <w:color w:val="auto"/>
          <w:highlight w:val="none"/>
        </w:rPr>
        <w:t>所提供设备的使用情况；</w:t>
      </w:r>
    </w:p>
    <w:p>
      <w:pPr>
        <w:spacing w:line="240" w:lineRule="auto"/>
        <w:ind w:left="480" w:leftChars="200"/>
        <w:rPr>
          <w:rFonts w:hint="eastAsia" w:ascii="宋体" w:hAnsi="宋体" w:eastAsia="宋体"/>
          <w:color w:val="auto"/>
          <w:highlight w:val="none"/>
        </w:rPr>
      </w:pPr>
      <w:r>
        <w:rPr>
          <w:rFonts w:hint="eastAsia" w:ascii="宋体" w:hAnsi="宋体" w:eastAsia="宋体"/>
          <w:color w:val="auto"/>
          <w:highlight w:val="none"/>
        </w:rPr>
        <w:t>8）、其它使用条件和技术要求详见商务标书中的技术要求部分。</w:t>
      </w:r>
      <w:bookmarkEnd w:id="14"/>
      <w:bookmarkEnd w:id="15"/>
      <w:bookmarkEnd w:id="16"/>
    </w:p>
    <w:p>
      <w:pPr>
        <w:spacing w:line="240" w:lineRule="auto"/>
        <w:rPr>
          <w:rFonts w:hint="eastAsia" w:ascii="宋体" w:hAnsi="宋体" w:eastAsia="宋体"/>
          <w:color w:val="auto"/>
          <w:highlight w:val="none"/>
        </w:rPr>
      </w:pPr>
    </w:p>
    <w:p>
      <w:pPr>
        <w:kinsoku w:val="0"/>
        <w:spacing w:line="240" w:lineRule="auto"/>
        <w:ind w:right="29"/>
        <w:rPr>
          <w:rFonts w:hint="eastAsia" w:ascii="宋体" w:hAnsi="宋体" w:eastAsia="宋体"/>
          <w:strike w:val="0"/>
          <w:dstrike w:val="0"/>
          <w:color w:val="auto"/>
          <w:kern w:val="18"/>
          <w:szCs w:val="24"/>
          <w:highlight w:val="none"/>
        </w:rPr>
      </w:pPr>
      <w:r>
        <w:rPr>
          <w:rFonts w:hint="eastAsia" w:ascii="宋体" w:hAnsi="宋体" w:eastAsia="宋体"/>
          <w:strike w:val="0"/>
          <w:dstrike w:val="0"/>
          <w:color w:val="auto"/>
          <w:kern w:val="18"/>
          <w:szCs w:val="24"/>
          <w:highlight w:val="none"/>
        </w:rPr>
        <w:t>6. 特别说明</w:t>
      </w:r>
    </w:p>
    <w:p>
      <w:pPr>
        <w:kinsoku w:val="0"/>
        <w:spacing w:line="240" w:lineRule="auto"/>
        <w:ind w:left="480" w:leftChars="200" w:right="29"/>
        <w:rPr>
          <w:rFonts w:hint="eastAsia" w:ascii="宋体" w:hAnsi="宋体" w:eastAsia="宋体"/>
          <w:strike w:val="0"/>
          <w:dstrike w:val="0"/>
          <w:color w:val="auto"/>
          <w:kern w:val="18"/>
          <w:szCs w:val="24"/>
          <w:highlight w:val="none"/>
        </w:rPr>
      </w:pPr>
      <w:r>
        <w:rPr>
          <w:rFonts w:hint="eastAsia" w:ascii="宋体" w:hAnsi="宋体" w:eastAsia="宋体"/>
          <w:strike w:val="0"/>
          <w:dstrike w:val="0"/>
          <w:color w:val="auto"/>
          <w:kern w:val="18"/>
          <w:szCs w:val="24"/>
          <w:highlight w:val="none"/>
        </w:rPr>
        <w:t>投标人中标后需提供</w:t>
      </w:r>
      <w:r>
        <w:rPr>
          <w:rFonts w:hint="eastAsia" w:ascii="宋体" w:hAnsi="宋体" w:eastAsia="宋体"/>
          <w:strike w:val="0"/>
          <w:dstrike w:val="0"/>
          <w:color w:val="auto"/>
          <w:kern w:val="18"/>
          <w:szCs w:val="24"/>
          <w:highlight w:val="none"/>
          <w:lang w:val="en-US" w:eastAsia="zh-CN"/>
        </w:rPr>
        <w:t>设备</w:t>
      </w:r>
      <w:r>
        <w:rPr>
          <w:rFonts w:hint="eastAsia" w:ascii="宋体" w:hAnsi="宋体" w:eastAsia="宋体"/>
          <w:strike w:val="0"/>
          <w:dstrike w:val="0"/>
          <w:color w:val="auto"/>
          <w:kern w:val="18"/>
          <w:szCs w:val="24"/>
          <w:highlight w:val="none"/>
        </w:rPr>
        <w:t>的完整的平面布置图，</w:t>
      </w:r>
      <w:r>
        <w:rPr>
          <w:rFonts w:hint="eastAsia" w:ascii="宋体" w:hAnsi="宋体" w:eastAsia="宋体"/>
          <w:strike w:val="0"/>
          <w:dstrike w:val="0"/>
          <w:color w:val="auto"/>
          <w:kern w:val="18"/>
          <w:szCs w:val="24"/>
          <w:highlight w:val="none"/>
          <w:lang w:val="en-US" w:eastAsia="zh-CN"/>
        </w:rPr>
        <w:t>含</w:t>
      </w:r>
      <w:r>
        <w:rPr>
          <w:rFonts w:hint="eastAsia" w:ascii="宋体" w:hAnsi="宋体" w:eastAsia="宋体"/>
          <w:strike w:val="0"/>
          <w:dstrike w:val="0"/>
          <w:color w:val="auto"/>
          <w:kern w:val="18"/>
          <w:szCs w:val="24"/>
          <w:highlight w:val="none"/>
        </w:rPr>
        <w:t>剖面图，基础布置图，载荷分布等，以满足土建施工设计的要求。设计文件以蓝图+电子版形式提交。</w:t>
      </w:r>
    </w:p>
    <w:p>
      <w:pPr>
        <w:kinsoku w:val="0"/>
        <w:spacing w:line="240" w:lineRule="auto"/>
        <w:ind w:right="29"/>
        <w:rPr>
          <w:rFonts w:hint="eastAsia" w:ascii="宋体" w:hAnsi="宋体" w:eastAsia="宋体"/>
          <w:color w:val="auto"/>
          <w:kern w:val="18"/>
          <w:szCs w:val="24"/>
          <w:highlight w:val="none"/>
        </w:rPr>
      </w:pPr>
    </w:p>
    <w:p>
      <w:pPr>
        <w:spacing w:line="20" w:lineRule="exact"/>
        <w:rPr>
          <w:color w:val="auto"/>
          <w:sz w:val="20"/>
          <w:highlight w:val="none"/>
        </w:rPr>
      </w:pPr>
      <w:bookmarkStart w:id="17" w:name="page3"/>
      <w:bookmarkEnd w:id="17"/>
    </w:p>
    <w:p>
      <w:pPr>
        <w:pStyle w:val="2"/>
        <w:tabs>
          <w:tab w:val="clear" w:pos="360"/>
        </w:tabs>
        <w:ind w:left="0" w:firstLine="0"/>
        <w:rPr>
          <w:rFonts w:hint="eastAsia" w:ascii="宋体" w:hAnsi="宋体" w:eastAsia="宋体" w:cs="Arial"/>
          <w:bCs/>
          <w:color w:val="auto"/>
          <w:spacing w:val="16"/>
          <w:kern w:val="18"/>
          <w:szCs w:val="24"/>
          <w:highlight w:val="none"/>
        </w:rPr>
      </w:pPr>
      <w:bookmarkStart w:id="18" w:name="_Toc46774771"/>
      <w:r>
        <w:rPr>
          <w:rFonts w:hint="eastAsia" w:ascii="宋体" w:hAnsi="宋体" w:eastAsia="宋体" w:cs="Arial"/>
          <w:bCs/>
          <w:color w:val="auto"/>
          <w:spacing w:val="16"/>
          <w:kern w:val="18"/>
          <w:szCs w:val="24"/>
          <w:highlight w:val="none"/>
        </w:rPr>
        <w:t>标志、包装、运输和贮存</w:t>
      </w:r>
      <w:bookmarkEnd w:id="18"/>
    </w:p>
    <w:p>
      <w:pPr>
        <w:pStyle w:val="50"/>
        <w:rPr>
          <w:rFonts w:hint="eastAsia" w:ascii="宋体" w:hAnsi="宋体" w:eastAsia="宋体"/>
          <w:color w:val="auto"/>
          <w:highlight w:val="none"/>
        </w:rPr>
      </w:pPr>
      <w:r>
        <w:rPr>
          <w:rFonts w:hint="eastAsia" w:ascii="宋体" w:hAnsi="宋体" w:eastAsia="宋体"/>
          <w:color w:val="auto"/>
          <w:highlight w:val="none"/>
        </w:rPr>
        <w:t>应符合</w:t>
      </w:r>
      <w:r>
        <w:rPr>
          <w:rFonts w:hint="eastAsia" w:ascii="宋体" w:hAnsi="宋体" w:eastAsia="宋体"/>
          <w:bCs/>
          <w:color w:val="auto"/>
          <w:highlight w:val="none"/>
        </w:rPr>
        <w:t>标准：</w:t>
      </w:r>
      <w:r>
        <w:rPr>
          <w:rFonts w:hint="eastAsia" w:ascii="宋体" w:hAnsi="宋体" w:eastAsia="宋体"/>
          <w:bCs/>
          <w:color w:val="auto"/>
          <w:highlight w:val="none"/>
          <w:lang w:val="en-US"/>
        </w:rPr>
        <w:t xml:space="preserve"> GB 50431-2008 带式输送机工程设计规范</w:t>
      </w:r>
      <w:r>
        <w:rPr>
          <w:rFonts w:hint="eastAsia" w:ascii="宋体" w:hAnsi="宋体" w:eastAsia="宋体"/>
          <w:color w:val="auto"/>
          <w:highlight w:val="none"/>
        </w:rPr>
        <w:t>。</w:t>
      </w:r>
    </w:p>
    <w:p>
      <w:pPr>
        <w:pStyle w:val="50"/>
        <w:rPr>
          <w:rFonts w:ascii="宋体" w:hAnsi="宋体" w:eastAsia="宋体"/>
          <w:color w:val="auto"/>
          <w:highlight w:val="none"/>
        </w:rPr>
      </w:pPr>
      <w:r>
        <w:rPr>
          <w:rFonts w:hint="eastAsia" w:ascii="宋体" w:hAnsi="宋体" w:eastAsia="宋体"/>
          <w:color w:val="auto"/>
          <w:highlight w:val="none"/>
        </w:rPr>
        <w:t>应符合JC/T 406的规定。</w:t>
      </w:r>
    </w:p>
    <w:sectPr>
      <w:footerReference r:id="rId11" w:type="default"/>
      <w:pgSz w:w="11907" w:h="16840"/>
      <w:pgMar w:top="1418" w:right="1021" w:bottom="1418" w:left="1021" w:header="851" w:footer="851" w:gutter="284"/>
      <w:pgNumType w:fmt="decimal" w:start="1"/>
      <w:cols w:space="720" w:num="1"/>
      <w:docGrid w:type="lines" w:linePitch="38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Tms Rmn">
    <w:altName w:val="Times New Roman"/>
    <w:panose1 w:val="02020603040505020304"/>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New York">
    <w:altName w:val="Georgia"/>
    <w:panose1 w:val="02040503060506020304"/>
    <w:charset w:val="00"/>
    <w:family w:val="roman"/>
    <w:pitch w:val="default"/>
    <w:sig w:usb0="00000000" w:usb1="00000000" w:usb2="00000000" w:usb3="00000000" w:csb0="00000001" w:csb1="00000000"/>
  </w:font>
  <w:font w:name="Georgia">
    <w:panose1 w:val="02040502050405020303"/>
    <w:charset w:val="00"/>
    <w:family w:val="auto"/>
    <w:pitch w:val="default"/>
    <w:sig w:usb0="00000287" w:usb1="00000000" w:usb2="00000000" w:usb3="00000000" w:csb0="2000009F" w:csb1="00000000"/>
  </w:font>
  <w:font w:name="Times">
    <w:altName w:val="Times New Roman"/>
    <w:panose1 w:val="02020603050405020304"/>
    <w:charset w:val="00"/>
    <w:family w:val="roman"/>
    <w:pitch w:val="default"/>
    <w:sig w:usb0="00000000" w:usb1="00000000" w:usb2="00000009" w:usb3="00000000" w:csb0="000001FF" w:csb1="00000000"/>
  </w:font>
  <w:font w:name="Microsoft YaHei UI Light">
    <w:panose1 w:val="020B0502040204020203"/>
    <w:charset w:val="86"/>
    <w:family w:val="swiss"/>
    <w:pitch w:val="default"/>
    <w:sig w:usb0="80000287" w:usb1="2ACF0010" w:usb2="00000016" w:usb3="00000000" w:csb0="0004001F" w:csb1="00000000"/>
  </w:font>
  <w:font w:name="Verdana">
    <w:panose1 w:val="020B0604030504040204"/>
    <w:charset w:val="00"/>
    <w:family w:val="swiss"/>
    <w:pitch w:val="default"/>
    <w:sig w:usb0="A00006FF" w:usb1="4000205B" w:usb2="00000010" w:usb3="00000000" w:csb0="2000019F" w:csb1="00000000"/>
  </w:font>
  <w:font w:name="Malgun Gothic Semilight">
    <w:panose1 w:val="020B0502040204020203"/>
    <w:charset w:val="86"/>
    <w:family w:val="swiss"/>
    <w:pitch w:val="default"/>
    <w:sig w:usb0="900002AF" w:usb1="01D77CFB" w:usb2="00000012" w:usb3="00000000" w:csb0="203E01BD" w:csb1="D7FF0000"/>
  </w:font>
  <w:font w:name="Arial Unicode MS">
    <w:panose1 w:val="020B0604020202020204"/>
    <w:charset w:val="86"/>
    <w:family w:val="roman"/>
    <w:pitch w:val="default"/>
    <w:sig w:usb0="FFFFFFFF" w:usb1="E9FFFFFF" w:usb2="0000003F" w:usb3="00000000" w:csb0="603F01FF" w:csb1="FFFF0000"/>
  </w:font>
  <w:font w:name="隶书">
    <w:panose1 w:val="0201050906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ind w:right="360" w:firstLine="843" w:firstLineChars="400"/>
    </w:pPr>
    <w:r>
      <w:rPr>
        <w:rFonts w:hint="eastAsia" w:ascii="宋体" w:hAnsi="宋体" w:eastAsia="宋体"/>
        <w:b/>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framePr w:wrap="around" w:vAnchor="text" w:hAnchor="margin" w:xAlign="center" w:y="1"/>
      <w:rPr>
        <w:rStyle w:val="57"/>
      </w:rPr>
    </w:pPr>
    <w:r>
      <w:fldChar w:fldCharType="begin"/>
    </w:r>
    <w:r>
      <w:rPr>
        <w:rStyle w:val="57"/>
      </w:rPr>
      <w:instrText xml:space="preserve">PAGE  </w:instrText>
    </w:r>
    <w:r>
      <w:fldChar w:fldCharType="separate"/>
    </w:r>
    <w:r>
      <w:rPr>
        <w:rStyle w:val="57"/>
      </w:rPr>
      <w:t>1</w:t>
    </w:r>
    <w:r>
      <w:fldChar w:fldCharType="end"/>
    </w:r>
  </w:p>
  <w:p>
    <w:pPr>
      <w:pStyle w:val="3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hint="eastAsia" w:eastAsia="仿宋_GB2312"/>
        <w:lang w:eastAsia="zh-CN"/>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left"/>
                          </w:pPr>
                          <w:r>
                            <w:rPr>
                              <w:lang w:val="zh-CN"/>
                            </w:rPr>
                            <w:t xml:space="preserve"> </w:t>
                          </w:r>
                          <w:r>
                            <w:fldChar w:fldCharType="begin"/>
                          </w:r>
                          <w:r>
                            <w:instrText xml:space="preserve"> PAGE </w:instrText>
                          </w:r>
                          <w:r>
                            <w:fldChar w:fldCharType="separate"/>
                          </w:r>
                          <w:r>
                            <w:t>4</w:t>
                          </w:r>
                          <w:r>
                            <w:fldChar w:fldCharType="end"/>
                          </w:r>
                          <w:r>
                            <w:rPr>
                              <w:lang w:val="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jc w:val="left"/>
                    </w:pPr>
                    <w:r>
                      <w:rPr>
                        <w:lang w:val="zh-CN"/>
                      </w:rPr>
                      <w:t xml:space="preserve"> </w:t>
                    </w:r>
                    <w:r>
                      <w:fldChar w:fldCharType="begin"/>
                    </w:r>
                    <w:r>
                      <w:instrText xml:space="preserve"> PAGE </w:instrText>
                    </w:r>
                    <w:r>
                      <w:fldChar w:fldCharType="separate"/>
                    </w:r>
                    <w:r>
                      <w:t>4</w:t>
                    </w:r>
                    <w:r>
                      <w:fldChar w:fldCharType="end"/>
                    </w:r>
                    <w:r>
                      <w:rPr>
                        <w:lang w:val="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tabs>
        <w:tab w:val="left" w:pos="985"/>
        <w:tab w:val="right" w:pos="9589"/>
      </w:tabs>
      <w:spacing w:line="340" w:lineRule="exact"/>
      <w:jc w:val="left"/>
      <w:rPr>
        <w:rFonts w:ascii="隶书" w:eastAsia="隶书"/>
        <w:spacing w:val="0"/>
      </w:rPr>
    </w:pPr>
    <w:bookmarkStart w:id="19" w:name="_GoBack"/>
    <w:r>
      <w:rPr>
        <w:rFonts w:hint="eastAsia" w:ascii="宋体" w:hAnsi="宋体" w:eastAsia="宋体" w:cs="Times New Roman"/>
        <w:snapToGrid/>
        <w:spacing w:val="0"/>
        <w:kern w:val="2"/>
        <w:sz w:val="21"/>
        <w:szCs w:val="21"/>
        <w:lang w:val="en-US" w:eastAsia="zh-CN"/>
      </w:rPr>
      <w:drawing>
        <wp:anchor distT="0" distB="0" distL="114300" distR="114300" simplePos="0" relativeHeight="251659264" behindDoc="0" locked="0" layoutInCell="1" allowOverlap="1">
          <wp:simplePos x="0" y="0"/>
          <wp:positionH relativeFrom="column">
            <wp:posOffset>0</wp:posOffset>
          </wp:positionH>
          <wp:positionV relativeFrom="paragraph">
            <wp:posOffset>-55880</wp:posOffset>
          </wp:positionV>
          <wp:extent cx="1410970" cy="224155"/>
          <wp:effectExtent l="0" t="0" r="11430" b="4445"/>
          <wp:wrapTopAndBottom/>
          <wp:docPr id="3" name="图片 3" descr="lQLPJxaar-1rJMzMms0DybBkYIMMIQwV2wL-gX6AAIcA_969_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QLPJxaar-1rJMzMms0DybBkYIMMIQwV2wL-gX6AAIcA_969_154"/>
                  <pic:cNvPicPr>
                    <a:picLocks noChangeAspect="1"/>
                  </pic:cNvPicPr>
                </pic:nvPicPr>
                <pic:blipFill>
                  <a:blip r:embed="rId1"/>
                  <a:stretch>
                    <a:fillRect/>
                  </a:stretch>
                </pic:blipFill>
                <pic:spPr>
                  <a:xfrm>
                    <a:off x="0" y="0"/>
                    <a:ext cx="1410970" cy="224155"/>
                  </a:xfrm>
                  <a:prstGeom prst="rect">
                    <a:avLst/>
                  </a:prstGeom>
                </pic:spPr>
              </pic:pic>
            </a:graphicData>
          </a:graphic>
        </wp:anchor>
      </w:drawing>
    </w:r>
    <w:r>
      <w:rPr>
        <w:rFonts w:hint="eastAsia" w:ascii="宋体" w:hAnsi="宋体" w:eastAsia="宋体" w:cs="Times New Roman"/>
        <w:snapToGrid/>
        <w:spacing w:val="0"/>
        <w:kern w:val="2"/>
        <w:sz w:val="21"/>
        <w:szCs w:val="21"/>
        <w:lang w:val="en-US" w:eastAsia="zh-CN"/>
      </w:rPr>
      <w:tab/>
    </w:r>
    <w:r>
      <w:rPr>
        <w:rFonts w:hint="eastAsia" w:ascii="宋体" w:hAnsi="宋体" w:eastAsia="宋体" w:cs="Times New Roman"/>
        <w:snapToGrid/>
        <w:spacing w:val="0"/>
        <w:kern w:val="2"/>
        <w:sz w:val="21"/>
        <w:szCs w:val="21"/>
        <w:lang w:val="en-US" w:eastAsia="zh-CN"/>
      </w:rPr>
      <w:t xml:space="preserve">                  </w:t>
    </w:r>
    <w:r>
      <w:rPr>
        <w:rFonts w:hint="eastAsia" w:ascii="宋体" w:hAnsi="宋体"/>
        <w:snapToGrid/>
        <w:color w:val="000000" w:themeColor="text1"/>
        <w:spacing w:val="0"/>
        <w:kern w:val="2"/>
        <w:sz w:val="21"/>
        <w:szCs w:val="21"/>
        <w:lang w:val="en-US" w:eastAsia="zh-CN"/>
        <w14:textFill>
          <w14:solidFill>
            <w14:schemeClr w14:val="tx1"/>
          </w14:solidFill>
        </w14:textFill>
      </w:rPr>
      <w:t xml:space="preserve">                     </w:t>
    </w:r>
    <w:r>
      <w:rPr>
        <w:rFonts w:hint="eastAsia" w:ascii="宋体" w:hAnsi="宋体"/>
        <w:snapToGrid/>
        <w:color w:val="000000" w:themeColor="text1"/>
        <w:spacing w:val="0"/>
        <w:kern w:val="2"/>
        <w:sz w:val="21"/>
        <w:szCs w:val="21"/>
        <w:lang w:eastAsia="zh-CN"/>
        <w14:textFill>
          <w14:solidFill>
            <w14:schemeClr w14:val="tx1"/>
          </w14:solidFill>
        </w14:textFill>
      </w:rPr>
      <w:t>散装物料</w:t>
    </w:r>
    <w:r>
      <w:rPr>
        <w:rFonts w:hint="eastAsia" w:ascii="宋体" w:hAnsi="宋体"/>
        <w:snapToGrid/>
        <w:color w:val="000000" w:themeColor="text1"/>
        <w:spacing w:val="0"/>
        <w:kern w:val="2"/>
        <w:sz w:val="21"/>
        <w:szCs w:val="21"/>
        <w14:textFill>
          <w14:solidFill>
            <w14:schemeClr w14:val="tx1"/>
          </w14:solidFill>
        </w14:textFill>
      </w:rPr>
      <w:t>中转系统项目机械设备招标文件</w:t>
    </w:r>
  </w:p>
  <w:bookmarkEnd w:id="19"/>
  <w:p>
    <w:pPr>
      <w:pStyle w:val="3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2"/>
    <w:multiLevelType w:val="singleLevel"/>
    <w:tmpl w:val="FFFFFF82"/>
    <w:lvl w:ilvl="0" w:tentative="0">
      <w:start w:val="1"/>
      <w:numFmt w:val="bullet"/>
      <w:pStyle w:val="101"/>
      <w:lvlText w:val=""/>
      <w:lvlJc w:val="left"/>
      <w:pPr>
        <w:tabs>
          <w:tab w:val="left" w:pos="1080"/>
        </w:tabs>
        <w:ind w:left="1080" w:hanging="360"/>
      </w:pPr>
      <w:rPr>
        <w:rFonts w:hint="default" w:ascii="Symbol" w:hAnsi="Symbol"/>
      </w:rPr>
    </w:lvl>
  </w:abstractNum>
  <w:abstractNum w:abstractNumId="1">
    <w:nsid w:val="00000006"/>
    <w:multiLevelType w:val="singleLevel"/>
    <w:tmpl w:val="00000006"/>
    <w:lvl w:ilvl="0" w:tentative="0">
      <w:start w:val="1"/>
      <w:numFmt w:val="lowerRoman"/>
      <w:pStyle w:val="14"/>
      <w:lvlText w:val="%1)"/>
      <w:lvlJc w:val="left"/>
      <w:pPr>
        <w:tabs>
          <w:tab w:val="left" w:pos="1800"/>
        </w:tabs>
        <w:ind w:left="1800" w:hanging="720"/>
      </w:pPr>
    </w:lvl>
  </w:abstractNum>
  <w:abstractNum w:abstractNumId="2">
    <w:nsid w:val="3DAB063D"/>
    <w:multiLevelType w:val="multilevel"/>
    <w:tmpl w:val="3DAB063D"/>
    <w:lvl w:ilvl="0" w:tentative="0">
      <w:start w:val="1"/>
      <w:numFmt w:val="decimal"/>
      <w:pStyle w:val="207"/>
      <w:lvlText w:val="%1）"/>
      <w:lvlJc w:val="left"/>
      <w:pPr>
        <w:tabs>
          <w:tab w:val="left" w:pos="840"/>
        </w:tabs>
        <w:ind w:left="840" w:hanging="360"/>
      </w:pPr>
      <w:rPr>
        <w:rFonts w:hint="eastAsia"/>
      </w:rPr>
    </w:lvl>
    <w:lvl w:ilvl="1" w:tentative="0">
      <w:start w:val="1"/>
      <w:numFmt w:val="decimal"/>
      <w:lvlText w:val="%2)"/>
      <w:lvlJc w:val="left"/>
      <w:pPr>
        <w:tabs>
          <w:tab w:val="left" w:pos="1260"/>
        </w:tabs>
        <w:ind w:left="1260" w:hanging="360"/>
      </w:pPr>
      <w:rPr>
        <w:rFonts w:hint="eastAsia"/>
      </w:r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3">
    <w:nsid w:val="51A57D86"/>
    <w:multiLevelType w:val="multilevel"/>
    <w:tmpl w:val="51A57D86"/>
    <w:lvl w:ilvl="0" w:tentative="0">
      <w:start w:val="1"/>
      <w:numFmt w:val="decimal"/>
      <w:lvlText w:val="%1."/>
      <w:lvlJc w:val="left"/>
      <w:pPr>
        <w:ind w:left="1054" w:hanging="420"/>
      </w:pPr>
      <w:rPr>
        <w:rFonts w:hint="eastAsia"/>
      </w:rPr>
    </w:lvl>
    <w:lvl w:ilvl="1" w:tentative="0">
      <w:start w:val="1"/>
      <w:numFmt w:val="decimal"/>
      <w:lvlText w:val="%2、"/>
      <w:lvlJc w:val="left"/>
      <w:pPr>
        <w:ind w:left="1414" w:hanging="360"/>
      </w:pPr>
      <w:rPr>
        <w:rFonts w:hint="default"/>
      </w:rPr>
    </w:lvl>
    <w:lvl w:ilvl="2" w:tentative="0">
      <w:start w:val="1"/>
      <w:numFmt w:val="lowerRoman"/>
      <w:lvlText w:val="%3."/>
      <w:lvlJc w:val="right"/>
      <w:pPr>
        <w:ind w:left="1894" w:hanging="420"/>
      </w:pPr>
    </w:lvl>
    <w:lvl w:ilvl="3" w:tentative="0">
      <w:start w:val="1"/>
      <w:numFmt w:val="decimal"/>
      <w:lvlText w:val="%4."/>
      <w:lvlJc w:val="left"/>
      <w:pPr>
        <w:ind w:left="2314" w:hanging="420"/>
      </w:pPr>
    </w:lvl>
    <w:lvl w:ilvl="4" w:tentative="0">
      <w:start w:val="1"/>
      <w:numFmt w:val="lowerLetter"/>
      <w:lvlText w:val="%5)"/>
      <w:lvlJc w:val="left"/>
      <w:pPr>
        <w:ind w:left="2734" w:hanging="420"/>
      </w:pPr>
    </w:lvl>
    <w:lvl w:ilvl="5" w:tentative="0">
      <w:start w:val="1"/>
      <w:numFmt w:val="lowerRoman"/>
      <w:lvlText w:val="%6."/>
      <w:lvlJc w:val="right"/>
      <w:pPr>
        <w:ind w:left="3154" w:hanging="420"/>
      </w:pPr>
    </w:lvl>
    <w:lvl w:ilvl="6" w:tentative="0">
      <w:start w:val="1"/>
      <w:numFmt w:val="decimal"/>
      <w:lvlText w:val="%7."/>
      <w:lvlJc w:val="left"/>
      <w:pPr>
        <w:ind w:left="3574" w:hanging="420"/>
      </w:pPr>
    </w:lvl>
    <w:lvl w:ilvl="7" w:tentative="0">
      <w:start w:val="1"/>
      <w:numFmt w:val="lowerLetter"/>
      <w:lvlText w:val="%8)"/>
      <w:lvlJc w:val="left"/>
      <w:pPr>
        <w:ind w:left="3994" w:hanging="420"/>
      </w:pPr>
    </w:lvl>
    <w:lvl w:ilvl="8" w:tentative="0">
      <w:start w:val="1"/>
      <w:numFmt w:val="lowerRoman"/>
      <w:lvlText w:val="%9."/>
      <w:lvlJc w:val="right"/>
      <w:pPr>
        <w:ind w:left="4414" w:hanging="420"/>
      </w:pPr>
    </w:lvl>
  </w:abstractNum>
  <w:abstractNum w:abstractNumId="4">
    <w:nsid w:val="747A3596"/>
    <w:multiLevelType w:val="multilevel"/>
    <w:tmpl w:val="747A3596"/>
    <w:lvl w:ilvl="0" w:tentative="0">
      <w:start w:val="1"/>
      <w:numFmt w:val="decimal"/>
      <w:pStyle w:val="2"/>
      <w:lvlText w:val="%1"/>
      <w:lvlJc w:val="center"/>
      <w:pPr>
        <w:tabs>
          <w:tab w:val="left" w:pos="360"/>
        </w:tabs>
        <w:ind w:left="-288" w:firstLine="288"/>
      </w:pPr>
      <w:rPr>
        <w:rFonts w:hint="eastAsia"/>
      </w:rPr>
    </w:lvl>
    <w:lvl w:ilvl="1" w:tentative="0">
      <w:start w:val="1"/>
      <w:numFmt w:val="decimal"/>
      <w:lvlText w:val="%1.%2"/>
      <w:lvlJc w:val="left"/>
      <w:pPr>
        <w:tabs>
          <w:tab w:val="left" w:pos="1080"/>
        </w:tabs>
        <w:ind w:left="0" w:firstLine="0"/>
      </w:pPr>
      <w:rPr>
        <w:rFonts w:hint="eastAsia"/>
      </w:rPr>
    </w:lvl>
    <w:lvl w:ilvl="2" w:tentative="0">
      <w:start w:val="1"/>
      <w:numFmt w:val="decimal"/>
      <w:pStyle w:val="5"/>
      <w:lvlText w:val="%1.%2.%3"/>
      <w:lvlJc w:val="left"/>
      <w:pPr>
        <w:tabs>
          <w:tab w:val="left" w:pos="1780"/>
        </w:tabs>
        <w:ind w:left="0" w:firstLine="340"/>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79882082"/>
    <w:multiLevelType w:val="multilevel"/>
    <w:tmpl w:val="79882082"/>
    <w:lvl w:ilvl="0" w:tentative="0">
      <w:start w:val="1"/>
      <w:numFmt w:val="decimal"/>
      <w:lvlText w:val="%1"/>
      <w:lvlJc w:val="left"/>
      <w:pPr>
        <w:tabs>
          <w:tab w:val="left" w:pos="360"/>
        </w:tabs>
        <w:ind w:left="0" w:firstLine="0"/>
      </w:pPr>
      <w:rPr>
        <w:rFonts w:hint="eastAsia"/>
      </w:rPr>
    </w:lvl>
    <w:lvl w:ilvl="1" w:tentative="0">
      <w:start w:val="1"/>
      <w:numFmt w:val="decimal"/>
      <w:lvlText w:val="%1.%2"/>
      <w:lvlJc w:val="left"/>
      <w:pPr>
        <w:tabs>
          <w:tab w:val="left" w:pos="1080"/>
        </w:tabs>
        <w:ind w:left="0" w:firstLine="0"/>
      </w:pPr>
      <w:rPr>
        <w:rFonts w:hint="eastAsia"/>
      </w:rPr>
    </w:lvl>
    <w:lvl w:ilvl="2" w:tentative="0">
      <w:start w:val="1"/>
      <w:numFmt w:val="decimal"/>
      <w:pStyle w:val="20"/>
      <w:lvlText w:val="%1.%2.%3"/>
      <w:lvlJc w:val="left"/>
      <w:pPr>
        <w:tabs>
          <w:tab w:val="left" w:pos="1440"/>
        </w:tabs>
        <w:ind w:left="0" w:firstLine="0"/>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40"/>
  <w:drawingGridVerticalSpacing w:val="190"/>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0NTM4MjViNTEyMzdiYjhiZWI0MjZkYmVlMTg3ZGIifQ=="/>
  </w:docVars>
  <w:rsids>
    <w:rsidRoot w:val="00D9735E"/>
    <w:rsid w:val="00000393"/>
    <w:rsid w:val="00002272"/>
    <w:rsid w:val="00003FE0"/>
    <w:rsid w:val="00010594"/>
    <w:rsid w:val="00010D65"/>
    <w:rsid w:val="000175A1"/>
    <w:rsid w:val="000223BC"/>
    <w:rsid w:val="00045EE7"/>
    <w:rsid w:val="000471FF"/>
    <w:rsid w:val="00047D5A"/>
    <w:rsid w:val="00051F23"/>
    <w:rsid w:val="000603C8"/>
    <w:rsid w:val="000865B7"/>
    <w:rsid w:val="00091725"/>
    <w:rsid w:val="00091ECA"/>
    <w:rsid w:val="000A3EF5"/>
    <w:rsid w:val="000A5BBF"/>
    <w:rsid w:val="000A6388"/>
    <w:rsid w:val="000B1BC7"/>
    <w:rsid w:val="000B4FB3"/>
    <w:rsid w:val="000B7E2C"/>
    <w:rsid w:val="000D3BD5"/>
    <w:rsid w:val="000D6BBA"/>
    <w:rsid w:val="000E2239"/>
    <w:rsid w:val="000E723E"/>
    <w:rsid w:val="00104188"/>
    <w:rsid w:val="00114028"/>
    <w:rsid w:val="00120B55"/>
    <w:rsid w:val="0012284F"/>
    <w:rsid w:val="001351A2"/>
    <w:rsid w:val="001351D6"/>
    <w:rsid w:val="0014075F"/>
    <w:rsid w:val="00166866"/>
    <w:rsid w:val="00173245"/>
    <w:rsid w:val="001744C5"/>
    <w:rsid w:val="00186A95"/>
    <w:rsid w:val="00194AE6"/>
    <w:rsid w:val="00195065"/>
    <w:rsid w:val="001B016D"/>
    <w:rsid w:val="001B6558"/>
    <w:rsid w:val="001C6D14"/>
    <w:rsid w:val="001D05FF"/>
    <w:rsid w:val="001D1918"/>
    <w:rsid w:val="001D24CF"/>
    <w:rsid w:val="001D46C1"/>
    <w:rsid w:val="001E2450"/>
    <w:rsid w:val="001F07E6"/>
    <w:rsid w:val="001F09EB"/>
    <w:rsid w:val="002076EF"/>
    <w:rsid w:val="0020798E"/>
    <w:rsid w:val="00212C3C"/>
    <w:rsid w:val="00213BED"/>
    <w:rsid w:val="00222B2F"/>
    <w:rsid w:val="00224307"/>
    <w:rsid w:val="00227BA9"/>
    <w:rsid w:val="002341DD"/>
    <w:rsid w:val="00234A37"/>
    <w:rsid w:val="00236823"/>
    <w:rsid w:val="00240D3E"/>
    <w:rsid w:val="00245C95"/>
    <w:rsid w:val="00263061"/>
    <w:rsid w:val="002704A3"/>
    <w:rsid w:val="00280BDB"/>
    <w:rsid w:val="002818A6"/>
    <w:rsid w:val="00283B42"/>
    <w:rsid w:val="00287D19"/>
    <w:rsid w:val="002977DF"/>
    <w:rsid w:val="00297D8A"/>
    <w:rsid w:val="002C4D3B"/>
    <w:rsid w:val="002C68B9"/>
    <w:rsid w:val="002D7366"/>
    <w:rsid w:val="002E4DB0"/>
    <w:rsid w:val="002E5C27"/>
    <w:rsid w:val="002F2889"/>
    <w:rsid w:val="002F3B7F"/>
    <w:rsid w:val="002F597E"/>
    <w:rsid w:val="0030115C"/>
    <w:rsid w:val="00305696"/>
    <w:rsid w:val="00307071"/>
    <w:rsid w:val="00317B6B"/>
    <w:rsid w:val="003220B9"/>
    <w:rsid w:val="00324729"/>
    <w:rsid w:val="00331BC6"/>
    <w:rsid w:val="00333CCD"/>
    <w:rsid w:val="00337B0F"/>
    <w:rsid w:val="00340635"/>
    <w:rsid w:val="00345EBF"/>
    <w:rsid w:val="003603AE"/>
    <w:rsid w:val="003635E8"/>
    <w:rsid w:val="00371C51"/>
    <w:rsid w:val="00372A94"/>
    <w:rsid w:val="00380A22"/>
    <w:rsid w:val="00390477"/>
    <w:rsid w:val="003906CA"/>
    <w:rsid w:val="00395EC4"/>
    <w:rsid w:val="00397A9D"/>
    <w:rsid w:val="003A1884"/>
    <w:rsid w:val="003A1A33"/>
    <w:rsid w:val="003B2E5A"/>
    <w:rsid w:val="003B39C3"/>
    <w:rsid w:val="003C4C54"/>
    <w:rsid w:val="003D761C"/>
    <w:rsid w:val="003E06C1"/>
    <w:rsid w:val="003E281F"/>
    <w:rsid w:val="00411925"/>
    <w:rsid w:val="00411E4E"/>
    <w:rsid w:val="00416BCB"/>
    <w:rsid w:val="0042022B"/>
    <w:rsid w:val="004215BC"/>
    <w:rsid w:val="00423000"/>
    <w:rsid w:val="0043055A"/>
    <w:rsid w:val="004366ED"/>
    <w:rsid w:val="00437687"/>
    <w:rsid w:val="00460EEC"/>
    <w:rsid w:val="00462C4F"/>
    <w:rsid w:val="0048426F"/>
    <w:rsid w:val="0049452E"/>
    <w:rsid w:val="004B34F7"/>
    <w:rsid w:val="004B5117"/>
    <w:rsid w:val="004B7B9B"/>
    <w:rsid w:val="004C54BB"/>
    <w:rsid w:val="004D0343"/>
    <w:rsid w:val="004D0D61"/>
    <w:rsid w:val="004D723E"/>
    <w:rsid w:val="004D7B2C"/>
    <w:rsid w:val="004E2ECA"/>
    <w:rsid w:val="00514940"/>
    <w:rsid w:val="005153CD"/>
    <w:rsid w:val="00527517"/>
    <w:rsid w:val="00532788"/>
    <w:rsid w:val="005342D0"/>
    <w:rsid w:val="005358AF"/>
    <w:rsid w:val="0053607E"/>
    <w:rsid w:val="00556CB8"/>
    <w:rsid w:val="005577F2"/>
    <w:rsid w:val="00561394"/>
    <w:rsid w:val="005676DD"/>
    <w:rsid w:val="00574B1B"/>
    <w:rsid w:val="005C11BB"/>
    <w:rsid w:val="005C214F"/>
    <w:rsid w:val="005C6A7E"/>
    <w:rsid w:val="005D5D8C"/>
    <w:rsid w:val="005D782D"/>
    <w:rsid w:val="005F513E"/>
    <w:rsid w:val="005F7871"/>
    <w:rsid w:val="00611781"/>
    <w:rsid w:val="0061361E"/>
    <w:rsid w:val="0062144C"/>
    <w:rsid w:val="00623BFC"/>
    <w:rsid w:val="00660FE4"/>
    <w:rsid w:val="006633D2"/>
    <w:rsid w:val="006666A8"/>
    <w:rsid w:val="0067618C"/>
    <w:rsid w:val="006906B9"/>
    <w:rsid w:val="00692319"/>
    <w:rsid w:val="00693495"/>
    <w:rsid w:val="00693B29"/>
    <w:rsid w:val="006B56F9"/>
    <w:rsid w:val="006D0BC9"/>
    <w:rsid w:val="006D4E42"/>
    <w:rsid w:val="006E4430"/>
    <w:rsid w:val="006F6FB9"/>
    <w:rsid w:val="00700311"/>
    <w:rsid w:val="00713C78"/>
    <w:rsid w:val="00715C6A"/>
    <w:rsid w:val="007415E1"/>
    <w:rsid w:val="0075229C"/>
    <w:rsid w:val="00763938"/>
    <w:rsid w:val="007670D1"/>
    <w:rsid w:val="0078153B"/>
    <w:rsid w:val="00782421"/>
    <w:rsid w:val="0078452C"/>
    <w:rsid w:val="007863DD"/>
    <w:rsid w:val="007900AC"/>
    <w:rsid w:val="00791732"/>
    <w:rsid w:val="00791E3D"/>
    <w:rsid w:val="007A14A0"/>
    <w:rsid w:val="007A4D66"/>
    <w:rsid w:val="007B1BB9"/>
    <w:rsid w:val="007B73AC"/>
    <w:rsid w:val="007C6114"/>
    <w:rsid w:val="007D2595"/>
    <w:rsid w:val="007D2AD0"/>
    <w:rsid w:val="007D7DC6"/>
    <w:rsid w:val="007E1114"/>
    <w:rsid w:val="007E7B05"/>
    <w:rsid w:val="007F1095"/>
    <w:rsid w:val="007F6009"/>
    <w:rsid w:val="00810B48"/>
    <w:rsid w:val="00811F6F"/>
    <w:rsid w:val="0081234E"/>
    <w:rsid w:val="00814B74"/>
    <w:rsid w:val="00833EB3"/>
    <w:rsid w:val="008367E0"/>
    <w:rsid w:val="00860691"/>
    <w:rsid w:val="0086293D"/>
    <w:rsid w:val="008642DC"/>
    <w:rsid w:val="008732B3"/>
    <w:rsid w:val="00874865"/>
    <w:rsid w:val="00875B99"/>
    <w:rsid w:val="008960B0"/>
    <w:rsid w:val="00897892"/>
    <w:rsid w:val="008A1A2D"/>
    <w:rsid w:val="008A3154"/>
    <w:rsid w:val="008C65E2"/>
    <w:rsid w:val="008D00BA"/>
    <w:rsid w:val="008F11FC"/>
    <w:rsid w:val="00905466"/>
    <w:rsid w:val="00907C88"/>
    <w:rsid w:val="0091204A"/>
    <w:rsid w:val="00912FCE"/>
    <w:rsid w:val="00914639"/>
    <w:rsid w:val="00915A6B"/>
    <w:rsid w:val="00923620"/>
    <w:rsid w:val="00923FB4"/>
    <w:rsid w:val="00933122"/>
    <w:rsid w:val="00936825"/>
    <w:rsid w:val="00936836"/>
    <w:rsid w:val="0094007C"/>
    <w:rsid w:val="009509DB"/>
    <w:rsid w:val="00953678"/>
    <w:rsid w:val="0097221F"/>
    <w:rsid w:val="00973CB4"/>
    <w:rsid w:val="00975CD7"/>
    <w:rsid w:val="0097797D"/>
    <w:rsid w:val="009800B9"/>
    <w:rsid w:val="00980D65"/>
    <w:rsid w:val="00987A1E"/>
    <w:rsid w:val="00987E77"/>
    <w:rsid w:val="009A7060"/>
    <w:rsid w:val="009A7532"/>
    <w:rsid w:val="009B475B"/>
    <w:rsid w:val="009C2EA7"/>
    <w:rsid w:val="009C3C58"/>
    <w:rsid w:val="009D4CC8"/>
    <w:rsid w:val="009D4F27"/>
    <w:rsid w:val="009E2B75"/>
    <w:rsid w:val="009F2A64"/>
    <w:rsid w:val="009F367B"/>
    <w:rsid w:val="009F5FEE"/>
    <w:rsid w:val="00A034A4"/>
    <w:rsid w:val="00A05E04"/>
    <w:rsid w:val="00A06793"/>
    <w:rsid w:val="00A22322"/>
    <w:rsid w:val="00A22C33"/>
    <w:rsid w:val="00A2512F"/>
    <w:rsid w:val="00A25F9B"/>
    <w:rsid w:val="00A37352"/>
    <w:rsid w:val="00A40081"/>
    <w:rsid w:val="00A437D4"/>
    <w:rsid w:val="00A65B1F"/>
    <w:rsid w:val="00A67A88"/>
    <w:rsid w:val="00A75CFC"/>
    <w:rsid w:val="00A93880"/>
    <w:rsid w:val="00AC108E"/>
    <w:rsid w:val="00AF6373"/>
    <w:rsid w:val="00B13705"/>
    <w:rsid w:val="00B26464"/>
    <w:rsid w:val="00B34372"/>
    <w:rsid w:val="00B44CA9"/>
    <w:rsid w:val="00B61C98"/>
    <w:rsid w:val="00B6272C"/>
    <w:rsid w:val="00B636AC"/>
    <w:rsid w:val="00B703D2"/>
    <w:rsid w:val="00B74582"/>
    <w:rsid w:val="00B92C27"/>
    <w:rsid w:val="00B955A4"/>
    <w:rsid w:val="00BB6410"/>
    <w:rsid w:val="00BC5A7E"/>
    <w:rsid w:val="00BC7609"/>
    <w:rsid w:val="00BD0D1D"/>
    <w:rsid w:val="00BD553E"/>
    <w:rsid w:val="00BE22BF"/>
    <w:rsid w:val="00BE5FC2"/>
    <w:rsid w:val="00BF0B78"/>
    <w:rsid w:val="00BF3F28"/>
    <w:rsid w:val="00C0070C"/>
    <w:rsid w:val="00C04A4B"/>
    <w:rsid w:val="00C07CB9"/>
    <w:rsid w:val="00C23256"/>
    <w:rsid w:val="00C2609D"/>
    <w:rsid w:val="00C30839"/>
    <w:rsid w:val="00C34604"/>
    <w:rsid w:val="00C409AB"/>
    <w:rsid w:val="00C464C4"/>
    <w:rsid w:val="00C474BF"/>
    <w:rsid w:val="00C53BFC"/>
    <w:rsid w:val="00C61849"/>
    <w:rsid w:val="00C61BCA"/>
    <w:rsid w:val="00C70394"/>
    <w:rsid w:val="00C717F7"/>
    <w:rsid w:val="00C71A51"/>
    <w:rsid w:val="00C747B2"/>
    <w:rsid w:val="00C81573"/>
    <w:rsid w:val="00C831ED"/>
    <w:rsid w:val="00C86EA5"/>
    <w:rsid w:val="00C93671"/>
    <w:rsid w:val="00C948F9"/>
    <w:rsid w:val="00CA0128"/>
    <w:rsid w:val="00CA3801"/>
    <w:rsid w:val="00CB5D16"/>
    <w:rsid w:val="00CB6E78"/>
    <w:rsid w:val="00CC2A38"/>
    <w:rsid w:val="00CD1B21"/>
    <w:rsid w:val="00CD2E03"/>
    <w:rsid w:val="00CD4213"/>
    <w:rsid w:val="00CE50C0"/>
    <w:rsid w:val="00CE5ED9"/>
    <w:rsid w:val="00CF6FF3"/>
    <w:rsid w:val="00CF703C"/>
    <w:rsid w:val="00D04760"/>
    <w:rsid w:val="00D132A4"/>
    <w:rsid w:val="00D13685"/>
    <w:rsid w:val="00D14CC8"/>
    <w:rsid w:val="00D21B1F"/>
    <w:rsid w:val="00D36533"/>
    <w:rsid w:val="00D40757"/>
    <w:rsid w:val="00D56F6E"/>
    <w:rsid w:val="00D6112F"/>
    <w:rsid w:val="00D70B27"/>
    <w:rsid w:val="00D752CC"/>
    <w:rsid w:val="00D75FCC"/>
    <w:rsid w:val="00D80546"/>
    <w:rsid w:val="00D810F6"/>
    <w:rsid w:val="00D81242"/>
    <w:rsid w:val="00D9735E"/>
    <w:rsid w:val="00DB3E4F"/>
    <w:rsid w:val="00DB4AFE"/>
    <w:rsid w:val="00DB5FB8"/>
    <w:rsid w:val="00DC1962"/>
    <w:rsid w:val="00DC1C7D"/>
    <w:rsid w:val="00DC29AD"/>
    <w:rsid w:val="00DC4156"/>
    <w:rsid w:val="00DD4F91"/>
    <w:rsid w:val="00DE5784"/>
    <w:rsid w:val="00DE779A"/>
    <w:rsid w:val="00DF182B"/>
    <w:rsid w:val="00DF2B28"/>
    <w:rsid w:val="00DF7E7E"/>
    <w:rsid w:val="00E005EF"/>
    <w:rsid w:val="00E010A4"/>
    <w:rsid w:val="00E0175E"/>
    <w:rsid w:val="00E03947"/>
    <w:rsid w:val="00E03D5D"/>
    <w:rsid w:val="00E10046"/>
    <w:rsid w:val="00E12441"/>
    <w:rsid w:val="00E126B4"/>
    <w:rsid w:val="00E1778F"/>
    <w:rsid w:val="00E22BB4"/>
    <w:rsid w:val="00E23B28"/>
    <w:rsid w:val="00E24AFB"/>
    <w:rsid w:val="00E25281"/>
    <w:rsid w:val="00E25BAE"/>
    <w:rsid w:val="00E2699B"/>
    <w:rsid w:val="00E37440"/>
    <w:rsid w:val="00E472E3"/>
    <w:rsid w:val="00E506C9"/>
    <w:rsid w:val="00E829BF"/>
    <w:rsid w:val="00E83569"/>
    <w:rsid w:val="00E857B8"/>
    <w:rsid w:val="00E869F6"/>
    <w:rsid w:val="00E9379C"/>
    <w:rsid w:val="00E957ED"/>
    <w:rsid w:val="00E97E0C"/>
    <w:rsid w:val="00EA0A29"/>
    <w:rsid w:val="00EA401B"/>
    <w:rsid w:val="00EA7DF5"/>
    <w:rsid w:val="00EB0F64"/>
    <w:rsid w:val="00EB2401"/>
    <w:rsid w:val="00EB6467"/>
    <w:rsid w:val="00EC08B4"/>
    <w:rsid w:val="00ED0A21"/>
    <w:rsid w:val="00ED2FCC"/>
    <w:rsid w:val="00ED7831"/>
    <w:rsid w:val="00EE0027"/>
    <w:rsid w:val="00EE0D95"/>
    <w:rsid w:val="00EE1568"/>
    <w:rsid w:val="00EE2EF3"/>
    <w:rsid w:val="00EE5EC2"/>
    <w:rsid w:val="00EF172A"/>
    <w:rsid w:val="00EF20E5"/>
    <w:rsid w:val="00F07B4C"/>
    <w:rsid w:val="00F163BB"/>
    <w:rsid w:val="00F17745"/>
    <w:rsid w:val="00F22F0D"/>
    <w:rsid w:val="00F30183"/>
    <w:rsid w:val="00F3222F"/>
    <w:rsid w:val="00F61A52"/>
    <w:rsid w:val="00F61F6C"/>
    <w:rsid w:val="00F6297C"/>
    <w:rsid w:val="00F652E0"/>
    <w:rsid w:val="00F70666"/>
    <w:rsid w:val="00F71ED6"/>
    <w:rsid w:val="00F74382"/>
    <w:rsid w:val="00F87950"/>
    <w:rsid w:val="00F96CA2"/>
    <w:rsid w:val="00F97F6B"/>
    <w:rsid w:val="00FA72F3"/>
    <w:rsid w:val="00FA75BB"/>
    <w:rsid w:val="00FD330A"/>
    <w:rsid w:val="00FF1ECB"/>
    <w:rsid w:val="00FF2219"/>
    <w:rsid w:val="00FF25BE"/>
    <w:rsid w:val="00FF2FA5"/>
    <w:rsid w:val="00FF40AB"/>
    <w:rsid w:val="00FF70A9"/>
    <w:rsid w:val="00FF7828"/>
    <w:rsid w:val="02E84FD1"/>
    <w:rsid w:val="02FF0592"/>
    <w:rsid w:val="04665F0D"/>
    <w:rsid w:val="087238B7"/>
    <w:rsid w:val="0A314183"/>
    <w:rsid w:val="0C69042B"/>
    <w:rsid w:val="0F1D4097"/>
    <w:rsid w:val="111700D2"/>
    <w:rsid w:val="11567BB3"/>
    <w:rsid w:val="189A574F"/>
    <w:rsid w:val="19B7078B"/>
    <w:rsid w:val="1A080905"/>
    <w:rsid w:val="1F2D3C09"/>
    <w:rsid w:val="1FEA41DB"/>
    <w:rsid w:val="222C6128"/>
    <w:rsid w:val="24891E80"/>
    <w:rsid w:val="24B727BE"/>
    <w:rsid w:val="24E30BE7"/>
    <w:rsid w:val="25541F70"/>
    <w:rsid w:val="25734C55"/>
    <w:rsid w:val="25F734DB"/>
    <w:rsid w:val="2D7E6B88"/>
    <w:rsid w:val="2E2F57F1"/>
    <w:rsid w:val="3029773E"/>
    <w:rsid w:val="322229FE"/>
    <w:rsid w:val="33B769B5"/>
    <w:rsid w:val="34811788"/>
    <w:rsid w:val="3AF1054B"/>
    <w:rsid w:val="3BF92411"/>
    <w:rsid w:val="40BD5C61"/>
    <w:rsid w:val="42790F89"/>
    <w:rsid w:val="44094B8F"/>
    <w:rsid w:val="445C5617"/>
    <w:rsid w:val="44AD2F72"/>
    <w:rsid w:val="4707684D"/>
    <w:rsid w:val="49FD2BD4"/>
    <w:rsid w:val="4B5926D4"/>
    <w:rsid w:val="4D0552C7"/>
    <w:rsid w:val="501D6F9B"/>
    <w:rsid w:val="51956D25"/>
    <w:rsid w:val="56271F90"/>
    <w:rsid w:val="58093662"/>
    <w:rsid w:val="58590F27"/>
    <w:rsid w:val="5AA05A58"/>
    <w:rsid w:val="5EDB2BC9"/>
    <w:rsid w:val="63F43339"/>
    <w:rsid w:val="65D35AFF"/>
    <w:rsid w:val="69E77F87"/>
    <w:rsid w:val="6DD26156"/>
    <w:rsid w:val="6E9F7B68"/>
    <w:rsid w:val="6FBA3F0E"/>
    <w:rsid w:val="7BFA063B"/>
    <w:rsid w:val="7FE657C3"/>
    <w:rsid w:val="BFFDF138"/>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jc w:val="both"/>
    </w:pPr>
    <w:rPr>
      <w:rFonts w:ascii="Times New Roman" w:hAnsi="Times New Roman" w:eastAsia="仿宋_GB2312" w:cs="Times New Roman"/>
      <w:kern w:val="2"/>
      <w:sz w:val="24"/>
      <w:lang w:val="en-US" w:eastAsia="zh-CN" w:bidi="ar-SA"/>
    </w:rPr>
  </w:style>
  <w:style w:type="paragraph" w:styleId="2">
    <w:name w:val="heading 1"/>
    <w:basedOn w:val="1"/>
    <w:next w:val="1"/>
    <w:link w:val="442"/>
    <w:qFormat/>
    <w:uiPriority w:val="0"/>
    <w:pPr>
      <w:keepNext/>
      <w:keepLines/>
      <w:numPr>
        <w:ilvl w:val="0"/>
        <w:numId w:val="1"/>
      </w:numPr>
      <w:spacing w:after="190" w:afterLines="50" w:line="240" w:lineRule="auto"/>
      <w:outlineLvl w:val="0"/>
    </w:pPr>
    <w:rPr>
      <w:rFonts w:eastAsia="华文行楷"/>
      <w:snapToGrid w:val="0"/>
      <w:spacing w:val="10"/>
      <w:sz w:val="32"/>
    </w:rPr>
  </w:style>
  <w:style w:type="paragraph" w:styleId="3">
    <w:name w:val="heading 2"/>
    <w:basedOn w:val="1"/>
    <w:next w:val="4"/>
    <w:link w:val="443"/>
    <w:qFormat/>
    <w:uiPriority w:val="0"/>
    <w:pPr>
      <w:keepNext/>
      <w:keepLines/>
      <w:tabs>
        <w:tab w:val="left" w:pos="560"/>
      </w:tabs>
      <w:textAlignment w:val="baseline"/>
      <w:outlineLvl w:val="1"/>
    </w:pPr>
    <w:rPr>
      <w:rFonts w:ascii="Arial" w:hAnsi="Arial" w:eastAsia="华文细黑"/>
      <w:b/>
      <w:bCs/>
      <w:snapToGrid w:val="0"/>
      <w:spacing w:val="10"/>
      <w:kern w:val="28"/>
    </w:rPr>
  </w:style>
  <w:style w:type="paragraph" w:styleId="5">
    <w:name w:val="heading 3"/>
    <w:basedOn w:val="1"/>
    <w:next w:val="4"/>
    <w:link w:val="444"/>
    <w:qFormat/>
    <w:uiPriority w:val="0"/>
    <w:pPr>
      <w:numPr>
        <w:ilvl w:val="2"/>
        <w:numId w:val="1"/>
      </w:numPr>
      <w:outlineLvl w:val="2"/>
    </w:pPr>
    <w:rPr>
      <w:spacing w:val="30"/>
    </w:rPr>
  </w:style>
  <w:style w:type="paragraph" w:styleId="6">
    <w:name w:val="heading 4"/>
    <w:basedOn w:val="1"/>
    <w:next w:val="4"/>
    <w:link w:val="445"/>
    <w:qFormat/>
    <w:uiPriority w:val="0"/>
    <w:pPr>
      <w:keepNext/>
      <w:keepLines/>
      <w:spacing w:before="280" w:after="290" w:line="376" w:lineRule="atLeast"/>
      <w:outlineLvl w:val="3"/>
    </w:pPr>
    <w:rPr>
      <w:rFonts w:ascii="Arial" w:hAnsi="Arial" w:eastAsia="黑体"/>
      <w:b/>
      <w:spacing w:val="20"/>
    </w:rPr>
  </w:style>
  <w:style w:type="paragraph" w:styleId="7">
    <w:name w:val="heading 5"/>
    <w:basedOn w:val="1"/>
    <w:next w:val="1"/>
    <w:link w:val="446"/>
    <w:qFormat/>
    <w:uiPriority w:val="0"/>
    <w:pPr>
      <w:widowControl/>
      <w:tabs>
        <w:tab w:val="left" w:pos="567"/>
        <w:tab w:val="left" w:pos="1418"/>
        <w:tab w:val="left" w:pos="2268"/>
        <w:tab w:val="left" w:pos="3402"/>
        <w:tab w:val="left" w:pos="4536"/>
        <w:tab w:val="left" w:pos="5954"/>
      </w:tabs>
      <w:overflowPunct w:val="0"/>
      <w:autoSpaceDE w:val="0"/>
      <w:autoSpaceDN w:val="0"/>
      <w:snapToGrid/>
      <w:spacing w:before="120" w:line="240" w:lineRule="auto"/>
      <w:ind w:right="567"/>
      <w:textAlignment w:val="baseline"/>
      <w:outlineLvl w:val="4"/>
    </w:pPr>
    <w:rPr>
      <w:rFonts w:eastAsia="宋体"/>
      <w:kern w:val="0"/>
      <w:position w:val="-6"/>
      <w:lang w:val="en-GB"/>
    </w:rPr>
  </w:style>
  <w:style w:type="paragraph" w:styleId="8">
    <w:name w:val="heading 6"/>
    <w:basedOn w:val="1"/>
    <w:next w:val="1"/>
    <w:link w:val="447"/>
    <w:qFormat/>
    <w:uiPriority w:val="0"/>
    <w:pPr>
      <w:widowControl/>
      <w:tabs>
        <w:tab w:val="left" w:pos="567"/>
        <w:tab w:val="left" w:pos="1418"/>
        <w:tab w:val="left" w:pos="2268"/>
        <w:tab w:val="left" w:pos="3402"/>
        <w:tab w:val="left" w:pos="4536"/>
        <w:tab w:val="left" w:pos="5954"/>
      </w:tabs>
      <w:overflowPunct w:val="0"/>
      <w:autoSpaceDE w:val="0"/>
      <w:autoSpaceDN w:val="0"/>
      <w:snapToGrid/>
      <w:spacing w:line="240" w:lineRule="auto"/>
      <w:textAlignment w:val="baseline"/>
      <w:outlineLvl w:val="5"/>
    </w:pPr>
    <w:rPr>
      <w:rFonts w:ascii="Helvetica" w:hAnsi="Helvetica" w:eastAsia="楷体_GB2312"/>
      <w:b/>
      <w:i/>
      <w:kern w:val="0"/>
      <w:position w:val="-6"/>
      <w:sz w:val="22"/>
      <w:lang w:val="en-GB"/>
    </w:rPr>
  </w:style>
  <w:style w:type="paragraph" w:styleId="9">
    <w:name w:val="heading 7"/>
    <w:basedOn w:val="1"/>
    <w:next w:val="1"/>
    <w:link w:val="448"/>
    <w:qFormat/>
    <w:uiPriority w:val="0"/>
    <w:pPr>
      <w:widowControl/>
      <w:overflowPunct w:val="0"/>
      <w:autoSpaceDE w:val="0"/>
      <w:autoSpaceDN w:val="0"/>
      <w:snapToGrid/>
      <w:spacing w:line="240" w:lineRule="auto"/>
      <w:textAlignment w:val="baseline"/>
      <w:outlineLvl w:val="6"/>
    </w:pPr>
    <w:rPr>
      <w:rFonts w:eastAsia="楷体_GB2312"/>
      <w:i/>
      <w:kern w:val="0"/>
      <w:position w:val="-6"/>
      <w:sz w:val="22"/>
      <w:lang w:val="en-GB"/>
    </w:rPr>
  </w:style>
  <w:style w:type="paragraph" w:styleId="10">
    <w:name w:val="heading 8"/>
    <w:basedOn w:val="1"/>
    <w:next w:val="1"/>
    <w:link w:val="449"/>
    <w:qFormat/>
    <w:uiPriority w:val="0"/>
    <w:pPr>
      <w:widowControl/>
      <w:overflowPunct w:val="0"/>
      <w:autoSpaceDE w:val="0"/>
      <w:autoSpaceDN w:val="0"/>
      <w:snapToGrid/>
      <w:spacing w:line="240" w:lineRule="auto"/>
      <w:textAlignment w:val="baseline"/>
      <w:outlineLvl w:val="7"/>
    </w:pPr>
    <w:rPr>
      <w:rFonts w:eastAsia="楷体_GB2312"/>
      <w:i/>
      <w:kern w:val="0"/>
      <w:position w:val="-6"/>
      <w:sz w:val="22"/>
      <w:lang w:val="en-GB"/>
    </w:rPr>
  </w:style>
  <w:style w:type="paragraph" w:styleId="11">
    <w:name w:val="heading 9"/>
    <w:basedOn w:val="1"/>
    <w:next w:val="1"/>
    <w:link w:val="450"/>
    <w:qFormat/>
    <w:uiPriority w:val="0"/>
    <w:pPr>
      <w:widowControl/>
      <w:overflowPunct w:val="0"/>
      <w:autoSpaceDE w:val="0"/>
      <w:autoSpaceDN w:val="0"/>
      <w:snapToGrid/>
      <w:spacing w:line="240" w:lineRule="auto"/>
      <w:textAlignment w:val="baseline"/>
      <w:outlineLvl w:val="8"/>
    </w:pPr>
    <w:rPr>
      <w:rFonts w:eastAsia="楷体_GB2312"/>
      <w:i/>
      <w:kern w:val="0"/>
      <w:position w:val="-6"/>
      <w:sz w:val="22"/>
      <w:lang w:val="en-GB"/>
    </w:rPr>
  </w:style>
  <w:style w:type="character" w:default="1" w:styleId="55">
    <w:name w:val="Default Paragraph Font"/>
    <w:semiHidden/>
    <w:qFormat/>
    <w:uiPriority w:val="0"/>
  </w:style>
  <w:style w:type="table" w:default="1" w:styleId="5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left="227" w:hanging="227"/>
    </w:pPr>
    <w:rPr>
      <w:spacing w:val="30"/>
    </w:rPr>
  </w:style>
  <w:style w:type="paragraph" w:styleId="12">
    <w:name w:val="List 3"/>
    <w:basedOn w:val="1"/>
    <w:qFormat/>
    <w:uiPriority w:val="0"/>
    <w:pPr>
      <w:adjustRightInd/>
      <w:snapToGrid/>
      <w:spacing w:line="240" w:lineRule="auto"/>
      <w:ind w:left="100" w:leftChars="400" w:hanging="200" w:hangingChars="200"/>
    </w:pPr>
    <w:rPr>
      <w:rFonts w:eastAsia="宋体"/>
      <w:sz w:val="21"/>
      <w:szCs w:val="24"/>
    </w:rPr>
  </w:style>
  <w:style w:type="paragraph" w:styleId="13">
    <w:name w:val="toc 7"/>
    <w:basedOn w:val="1"/>
    <w:next w:val="1"/>
    <w:semiHidden/>
    <w:qFormat/>
    <w:uiPriority w:val="0"/>
    <w:pPr>
      <w:ind w:left="2520"/>
    </w:pPr>
  </w:style>
  <w:style w:type="paragraph" w:styleId="14">
    <w:name w:val="caption"/>
    <w:basedOn w:val="1"/>
    <w:next w:val="1"/>
    <w:qFormat/>
    <w:uiPriority w:val="0"/>
    <w:pPr>
      <w:keepNext/>
      <w:numPr>
        <w:ilvl w:val="0"/>
        <w:numId w:val="2"/>
      </w:numPr>
      <w:spacing w:before="50" w:beforeLines="50" w:after="100" w:afterAutospacing="1"/>
      <w:jc w:val="center"/>
      <w:textAlignment w:val="baseline"/>
    </w:pPr>
    <w:rPr>
      <w:rFonts w:hAnsi="Arial" w:eastAsia="宋体"/>
      <w:b/>
      <w:snapToGrid w:val="0"/>
      <w:spacing w:val="30"/>
      <w:kern w:val="0"/>
      <w:sz w:val="28"/>
      <w:szCs w:val="28"/>
    </w:rPr>
  </w:style>
  <w:style w:type="paragraph" w:styleId="15">
    <w:name w:val="Document Map"/>
    <w:basedOn w:val="1"/>
    <w:link w:val="451"/>
    <w:semiHidden/>
    <w:qFormat/>
    <w:uiPriority w:val="0"/>
    <w:pPr>
      <w:shd w:val="clear" w:color="auto" w:fill="000080"/>
    </w:pPr>
  </w:style>
  <w:style w:type="paragraph" w:styleId="16">
    <w:name w:val="toa heading"/>
    <w:basedOn w:val="1"/>
    <w:next w:val="1"/>
    <w:qFormat/>
    <w:uiPriority w:val="0"/>
    <w:pPr>
      <w:spacing w:before="120"/>
      <w:textAlignment w:val="baseline"/>
    </w:pPr>
    <w:rPr>
      <w:rFonts w:ascii="Arial" w:hAnsi="Arial" w:eastAsia="宋体" w:cs="Arial"/>
      <w:snapToGrid w:val="0"/>
      <w:spacing w:val="30"/>
      <w:kern w:val="0"/>
      <w:szCs w:val="24"/>
    </w:rPr>
  </w:style>
  <w:style w:type="paragraph" w:styleId="17">
    <w:name w:val="annotation text"/>
    <w:basedOn w:val="1"/>
    <w:link w:val="452"/>
    <w:qFormat/>
    <w:uiPriority w:val="0"/>
    <w:pPr>
      <w:jc w:val="left"/>
      <w:textAlignment w:val="baseline"/>
    </w:pPr>
    <w:rPr>
      <w:rFonts w:eastAsia="宋体"/>
      <w:snapToGrid w:val="0"/>
      <w:spacing w:val="30"/>
      <w:kern w:val="0"/>
      <w:sz w:val="28"/>
      <w:szCs w:val="28"/>
    </w:rPr>
  </w:style>
  <w:style w:type="paragraph" w:styleId="18">
    <w:name w:val="Body Text 3"/>
    <w:basedOn w:val="1"/>
    <w:link w:val="453"/>
    <w:qFormat/>
    <w:uiPriority w:val="0"/>
    <w:pPr>
      <w:keepLines/>
      <w:suppressLineNumbers/>
      <w:suppressAutoHyphens/>
      <w:spacing w:after="120"/>
      <w:jc w:val="left"/>
      <w:textAlignment w:val="center"/>
    </w:pPr>
    <w:rPr>
      <w:rFonts w:ascii="Arial" w:hAnsi="Arial" w:eastAsia="宋体"/>
      <w:snapToGrid w:val="0"/>
      <w:spacing w:val="16"/>
      <w:kern w:val="18"/>
      <w:sz w:val="16"/>
      <w:szCs w:val="16"/>
    </w:rPr>
  </w:style>
  <w:style w:type="paragraph" w:styleId="19">
    <w:name w:val="Body Text"/>
    <w:basedOn w:val="1"/>
    <w:link w:val="454"/>
    <w:qFormat/>
    <w:uiPriority w:val="0"/>
    <w:pPr>
      <w:spacing w:after="120"/>
    </w:pPr>
  </w:style>
  <w:style w:type="paragraph" w:styleId="20">
    <w:name w:val="Body Text Indent"/>
    <w:basedOn w:val="1"/>
    <w:link w:val="455"/>
    <w:qFormat/>
    <w:uiPriority w:val="0"/>
    <w:pPr>
      <w:numPr>
        <w:ilvl w:val="2"/>
        <w:numId w:val="3"/>
      </w:numPr>
    </w:pPr>
  </w:style>
  <w:style w:type="paragraph" w:styleId="21">
    <w:name w:val="List 2"/>
    <w:basedOn w:val="1"/>
    <w:qFormat/>
    <w:uiPriority w:val="0"/>
    <w:pPr>
      <w:adjustRightInd/>
      <w:snapToGrid/>
      <w:spacing w:line="240" w:lineRule="auto"/>
      <w:ind w:left="100" w:leftChars="200" w:hanging="200" w:hangingChars="200"/>
    </w:pPr>
    <w:rPr>
      <w:rFonts w:eastAsia="宋体"/>
      <w:sz w:val="21"/>
      <w:szCs w:val="24"/>
    </w:rPr>
  </w:style>
  <w:style w:type="paragraph" w:styleId="22">
    <w:name w:val="List Continue"/>
    <w:basedOn w:val="1"/>
    <w:qFormat/>
    <w:uiPriority w:val="0"/>
    <w:pPr>
      <w:adjustRightInd/>
      <w:snapToGrid/>
      <w:spacing w:after="120" w:line="240" w:lineRule="auto"/>
      <w:ind w:left="420" w:leftChars="200"/>
    </w:pPr>
    <w:rPr>
      <w:rFonts w:eastAsia="宋体"/>
      <w:sz w:val="21"/>
      <w:szCs w:val="24"/>
    </w:rPr>
  </w:style>
  <w:style w:type="paragraph" w:styleId="23">
    <w:name w:val="Block Text"/>
    <w:basedOn w:val="1"/>
    <w:qFormat/>
    <w:uiPriority w:val="0"/>
    <w:pPr>
      <w:adjustRightInd/>
      <w:snapToGrid/>
      <w:spacing w:line="420" w:lineRule="exact"/>
      <w:ind w:left="1363" w:leftChars="649" w:right="-401" w:rightChars="-191"/>
    </w:pPr>
    <w:rPr>
      <w:rFonts w:eastAsia="宋体"/>
      <w:sz w:val="28"/>
      <w:szCs w:val="24"/>
    </w:rPr>
  </w:style>
  <w:style w:type="paragraph" w:styleId="24">
    <w:name w:val="toc 5"/>
    <w:basedOn w:val="1"/>
    <w:next w:val="1"/>
    <w:semiHidden/>
    <w:qFormat/>
    <w:uiPriority w:val="0"/>
    <w:pPr>
      <w:ind w:left="1680"/>
    </w:pPr>
  </w:style>
  <w:style w:type="paragraph" w:styleId="25">
    <w:name w:val="toc 3"/>
    <w:basedOn w:val="1"/>
    <w:next w:val="1"/>
    <w:semiHidden/>
    <w:qFormat/>
    <w:uiPriority w:val="0"/>
    <w:pPr>
      <w:ind w:left="840"/>
    </w:pPr>
  </w:style>
  <w:style w:type="paragraph" w:styleId="26">
    <w:name w:val="Plain Text"/>
    <w:basedOn w:val="1"/>
    <w:link w:val="456"/>
    <w:qFormat/>
    <w:uiPriority w:val="0"/>
    <w:pPr>
      <w:textAlignment w:val="baseline"/>
    </w:pPr>
    <w:rPr>
      <w:rFonts w:ascii="宋体" w:hAnsi="Courier New" w:eastAsia="宋体"/>
      <w:snapToGrid w:val="0"/>
      <w:spacing w:val="30"/>
      <w:kern w:val="0"/>
      <w:sz w:val="21"/>
      <w:szCs w:val="21"/>
    </w:rPr>
  </w:style>
  <w:style w:type="paragraph" w:styleId="27">
    <w:name w:val="toc 8"/>
    <w:basedOn w:val="1"/>
    <w:next w:val="1"/>
    <w:semiHidden/>
    <w:qFormat/>
    <w:uiPriority w:val="0"/>
    <w:pPr>
      <w:ind w:left="2940"/>
    </w:pPr>
  </w:style>
  <w:style w:type="paragraph" w:styleId="28">
    <w:name w:val="Date"/>
    <w:basedOn w:val="1"/>
    <w:next w:val="1"/>
    <w:link w:val="457"/>
    <w:qFormat/>
    <w:uiPriority w:val="0"/>
    <w:rPr>
      <w:spacing w:val="24"/>
    </w:rPr>
  </w:style>
  <w:style w:type="paragraph" w:styleId="29">
    <w:name w:val="Body Text Indent 2"/>
    <w:basedOn w:val="1"/>
    <w:link w:val="458"/>
    <w:qFormat/>
    <w:uiPriority w:val="0"/>
    <w:pPr>
      <w:ind w:left="480" w:hanging="480" w:hangingChars="200"/>
      <w:outlineLvl w:val="0"/>
    </w:pPr>
    <w:rPr>
      <w:color w:val="FF0000"/>
    </w:rPr>
  </w:style>
  <w:style w:type="paragraph" w:styleId="30">
    <w:name w:val="Balloon Text"/>
    <w:basedOn w:val="1"/>
    <w:link w:val="459"/>
    <w:qFormat/>
    <w:uiPriority w:val="0"/>
    <w:pPr>
      <w:spacing w:line="240" w:lineRule="auto"/>
    </w:pPr>
    <w:rPr>
      <w:sz w:val="18"/>
      <w:szCs w:val="18"/>
    </w:rPr>
  </w:style>
  <w:style w:type="paragraph" w:styleId="31">
    <w:name w:val="footer"/>
    <w:basedOn w:val="1"/>
    <w:link w:val="460"/>
    <w:qFormat/>
    <w:uiPriority w:val="99"/>
    <w:pPr>
      <w:tabs>
        <w:tab w:val="center" w:pos="4153"/>
        <w:tab w:val="right" w:pos="8306"/>
      </w:tabs>
      <w:snapToGrid w:val="0"/>
      <w:spacing w:line="240" w:lineRule="atLeast"/>
      <w:jc w:val="left"/>
    </w:pPr>
    <w:rPr>
      <w:sz w:val="18"/>
    </w:rPr>
  </w:style>
  <w:style w:type="paragraph" w:styleId="32">
    <w:name w:val="header"/>
    <w:basedOn w:val="1"/>
    <w:link w:val="46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33">
    <w:name w:val="toc 1"/>
    <w:basedOn w:val="1"/>
    <w:next w:val="1"/>
    <w:qFormat/>
    <w:uiPriority w:val="39"/>
    <w:pPr>
      <w:spacing w:before="240" w:after="120"/>
    </w:pPr>
    <w:rPr>
      <w:caps/>
    </w:rPr>
  </w:style>
  <w:style w:type="paragraph" w:styleId="34">
    <w:name w:val="List Continue 4"/>
    <w:basedOn w:val="1"/>
    <w:qFormat/>
    <w:uiPriority w:val="0"/>
    <w:pPr>
      <w:adjustRightInd/>
      <w:snapToGrid/>
      <w:spacing w:after="120" w:line="240" w:lineRule="auto"/>
      <w:ind w:left="1680" w:leftChars="800"/>
    </w:pPr>
    <w:rPr>
      <w:rFonts w:eastAsia="宋体"/>
      <w:sz w:val="21"/>
      <w:szCs w:val="24"/>
    </w:rPr>
  </w:style>
  <w:style w:type="paragraph" w:styleId="35">
    <w:name w:val="toc 4"/>
    <w:basedOn w:val="1"/>
    <w:next w:val="1"/>
    <w:semiHidden/>
    <w:qFormat/>
    <w:uiPriority w:val="0"/>
    <w:pPr>
      <w:ind w:left="1260"/>
    </w:pPr>
  </w:style>
  <w:style w:type="paragraph" w:styleId="36">
    <w:name w:val="List"/>
    <w:basedOn w:val="1"/>
    <w:qFormat/>
    <w:uiPriority w:val="0"/>
    <w:pPr>
      <w:adjustRightInd/>
      <w:snapToGrid/>
      <w:spacing w:line="240" w:lineRule="auto"/>
      <w:ind w:left="200" w:hanging="200" w:hangingChars="200"/>
    </w:pPr>
    <w:rPr>
      <w:rFonts w:eastAsia="宋体"/>
      <w:sz w:val="21"/>
      <w:szCs w:val="24"/>
    </w:rPr>
  </w:style>
  <w:style w:type="paragraph" w:styleId="37">
    <w:name w:val="footnote text"/>
    <w:basedOn w:val="1"/>
    <w:link w:val="462"/>
    <w:qFormat/>
    <w:uiPriority w:val="0"/>
    <w:pPr>
      <w:snapToGrid/>
      <w:spacing w:line="390" w:lineRule="atLeast"/>
      <w:jc w:val="left"/>
      <w:textAlignment w:val="baseline"/>
    </w:pPr>
    <w:rPr>
      <w:rFonts w:eastAsia="宋体"/>
      <w:kern w:val="0"/>
      <w:sz w:val="18"/>
    </w:rPr>
  </w:style>
  <w:style w:type="paragraph" w:styleId="38">
    <w:name w:val="toc 6"/>
    <w:basedOn w:val="1"/>
    <w:next w:val="1"/>
    <w:semiHidden/>
    <w:qFormat/>
    <w:uiPriority w:val="0"/>
    <w:pPr>
      <w:ind w:left="2100"/>
    </w:pPr>
  </w:style>
  <w:style w:type="paragraph" w:styleId="39">
    <w:name w:val="List 5"/>
    <w:basedOn w:val="1"/>
    <w:qFormat/>
    <w:uiPriority w:val="0"/>
    <w:pPr>
      <w:adjustRightInd/>
      <w:snapToGrid/>
      <w:spacing w:line="240" w:lineRule="auto"/>
      <w:ind w:left="100" w:leftChars="800" w:hanging="200" w:hangingChars="200"/>
    </w:pPr>
    <w:rPr>
      <w:rFonts w:eastAsia="宋体"/>
      <w:sz w:val="21"/>
      <w:szCs w:val="24"/>
    </w:rPr>
  </w:style>
  <w:style w:type="paragraph" w:styleId="40">
    <w:name w:val="Body Text Indent 3"/>
    <w:basedOn w:val="1"/>
    <w:link w:val="463"/>
    <w:qFormat/>
    <w:uiPriority w:val="0"/>
    <w:pPr>
      <w:adjustRightInd/>
      <w:ind w:firstLine="560"/>
    </w:pPr>
    <w:rPr>
      <w:rFonts w:eastAsia="宋体"/>
      <w:bCs/>
      <w:spacing w:val="30"/>
      <w:sz w:val="28"/>
      <w:szCs w:val="28"/>
    </w:rPr>
  </w:style>
  <w:style w:type="paragraph" w:styleId="41">
    <w:name w:val="toc 2"/>
    <w:basedOn w:val="1"/>
    <w:next w:val="1"/>
    <w:qFormat/>
    <w:uiPriority w:val="39"/>
    <w:pPr>
      <w:ind w:left="420"/>
    </w:pPr>
  </w:style>
  <w:style w:type="paragraph" w:styleId="42">
    <w:name w:val="toc 9"/>
    <w:basedOn w:val="1"/>
    <w:next w:val="1"/>
    <w:semiHidden/>
    <w:qFormat/>
    <w:uiPriority w:val="0"/>
    <w:pPr>
      <w:ind w:left="3360"/>
    </w:pPr>
  </w:style>
  <w:style w:type="paragraph" w:styleId="43">
    <w:name w:val="Body Text 2"/>
    <w:basedOn w:val="1"/>
    <w:link w:val="464"/>
    <w:qFormat/>
    <w:uiPriority w:val="0"/>
    <w:pPr>
      <w:spacing w:line="360" w:lineRule="auto"/>
    </w:pPr>
    <w:rPr>
      <w:spacing w:val="30"/>
    </w:rPr>
  </w:style>
  <w:style w:type="paragraph" w:styleId="44">
    <w:name w:val="List 4"/>
    <w:basedOn w:val="1"/>
    <w:qFormat/>
    <w:uiPriority w:val="0"/>
    <w:pPr>
      <w:adjustRightInd/>
      <w:snapToGrid/>
      <w:spacing w:line="240" w:lineRule="auto"/>
      <w:ind w:left="100" w:leftChars="600" w:hanging="200" w:hangingChars="200"/>
    </w:pPr>
    <w:rPr>
      <w:rFonts w:eastAsia="宋体"/>
      <w:sz w:val="21"/>
      <w:szCs w:val="24"/>
    </w:rPr>
  </w:style>
  <w:style w:type="paragraph" w:styleId="45">
    <w:name w:val="List Continue 2"/>
    <w:basedOn w:val="1"/>
    <w:qFormat/>
    <w:uiPriority w:val="0"/>
    <w:pPr>
      <w:adjustRightInd/>
      <w:snapToGrid/>
      <w:spacing w:after="120" w:line="240" w:lineRule="auto"/>
      <w:ind w:left="840" w:leftChars="400"/>
    </w:pPr>
    <w:rPr>
      <w:rFonts w:eastAsia="宋体"/>
      <w:sz w:val="21"/>
      <w:szCs w:val="24"/>
    </w:rPr>
  </w:style>
  <w:style w:type="paragraph" w:styleId="46">
    <w:name w:val="HTML Preformatted"/>
    <w:basedOn w:val="1"/>
    <w:link w:val="465"/>
    <w:qFormat/>
    <w:uiPriority w:val="0"/>
    <w:pPr>
      <w:keepLines/>
      <w:suppressLineNumbers/>
      <w:suppressAutoHyphens/>
      <w:jc w:val="left"/>
      <w:textAlignment w:val="center"/>
    </w:pPr>
    <w:rPr>
      <w:rFonts w:ascii="Courier New" w:hAnsi="Courier New" w:eastAsia="宋体"/>
      <w:snapToGrid w:val="0"/>
      <w:spacing w:val="16"/>
      <w:kern w:val="18"/>
      <w:sz w:val="20"/>
    </w:rPr>
  </w:style>
  <w:style w:type="paragraph" w:styleId="47">
    <w:name w:val="Normal (Web)"/>
    <w:basedOn w:val="1"/>
    <w:qFormat/>
    <w:uiPriority w:val="0"/>
    <w:pPr>
      <w:widowControl/>
      <w:adjustRightInd/>
      <w:snapToGrid/>
      <w:spacing w:before="100" w:beforeAutospacing="1" w:after="100" w:afterAutospacing="1" w:line="240" w:lineRule="auto"/>
      <w:jc w:val="left"/>
    </w:pPr>
    <w:rPr>
      <w:rFonts w:ascii="宋体" w:hAnsi="宋体" w:eastAsia="宋体"/>
      <w:kern w:val="0"/>
      <w:szCs w:val="24"/>
    </w:rPr>
  </w:style>
  <w:style w:type="paragraph" w:styleId="48">
    <w:name w:val="List Continue 3"/>
    <w:basedOn w:val="1"/>
    <w:qFormat/>
    <w:uiPriority w:val="0"/>
    <w:pPr>
      <w:adjustRightInd/>
      <w:snapToGrid/>
      <w:spacing w:after="120" w:line="240" w:lineRule="auto"/>
      <w:ind w:left="1260" w:leftChars="600"/>
    </w:pPr>
    <w:rPr>
      <w:rFonts w:eastAsia="宋体"/>
      <w:sz w:val="21"/>
      <w:szCs w:val="24"/>
    </w:rPr>
  </w:style>
  <w:style w:type="paragraph" w:styleId="49">
    <w:name w:val="Title"/>
    <w:basedOn w:val="1"/>
    <w:next w:val="50"/>
    <w:link w:val="466"/>
    <w:qFormat/>
    <w:uiPriority w:val="0"/>
    <w:pPr>
      <w:pageBreakBefore/>
      <w:spacing w:before="120" w:after="360" w:line="360" w:lineRule="auto"/>
      <w:jc w:val="center"/>
      <w:outlineLvl w:val="0"/>
    </w:pPr>
    <w:rPr>
      <w:rFonts w:ascii="Arial" w:hAnsi="Arial"/>
      <w:b/>
      <w:sz w:val="44"/>
    </w:rPr>
  </w:style>
  <w:style w:type="paragraph" w:styleId="50">
    <w:name w:val="Body Text First Indent"/>
    <w:basedOn w:val="19"/>
    <w:link w:val="467"/>
    <w:qFormat/>
    <w:uiPriority w:val="0"/>
    <w:pPr>
      <w:adjustRightInd w:val="0"/>
      <w:snapToGrid w:val="0"/>
      <w:spacing w:after="0" w:line="360" w:lineRule="auto"/>
      <w:ind w:firstLine="480" w:firstLineChars="200"/>
    </w:pPr>
    <w:rPr>
      <w:snapToGrid w:val="0"/>
      <w:kern w:val="24"/>
    </w:rPr>
  </w:style>
  <w:style w:type="paragraph" w:styleId="51">
    <w:name w:val="annotation subject"/>
    <w:basedOn w:val="17"/>
    <w:next w:val="17"/>
    <w:link w:val="468"/>
    <w:qFormat/>
    <w:uiPriority w:val="0"/>
    <w:rPr>
      <w:b/>
      <w:bCs/>
    </w:rPr>
  </w:style>
  <w:style w:type="paragraph" w:styleId="52">
    <w:name w:val="Body Text First Indent 2"/>
    <w:basedOn w:val="20"/>
    <w:link w:val="469"/>
    <w:qFormat/>
    <w:uiPriority w:val="0"/>
    <w:pPr>
      <w:numPr>
        <w:ilvl w:val="0"/>
        <w:numId w:val="0"/>
      </w:numPr>
      <w:adjustRightInd/>
      <w:snapToGrid/>
      <w:spacing w:after="120" w:line="240" w:lineRule="auto"/>
      <w:ind w:left="420" w:leftChars="200" w:firstLine="420" w:firstLineChars="200"/>
    </w:pPr>
    <w:rPr>
      <w:rFonts w:ascii="仿宋_GB2312" w:hAnsi="Courier New"/>
      <w:sz w:val="30"/>
      <w:szCs w:val="30"/>
    </w:rPr>
  </w:style>
  <w:style w:type="table" w:styleId="54">
    <w:name w:val="Table Grid"/>
    <w:basedOn w:val="5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56">
    <w:name w:val="Strong"/>
    <w:qFormat/>
    <w:uiPriority w:val="0"/>
    <w:rPr>
      <w:b/>
      <w:bCs/>
    </w:rPr>
  </w:style>
  <w:style w:type="character" w:styleId="57">
    <w:name w:val="page number"/>
    <w:qFormat/>
    <w:uiPriority w:val="0"/>
    <w:rPr>
      <w:sz w:val="24"/>
    </w:rPr>
  </w:style>
  <w:style w:type="character" w:styleId="58">
    <w:name w:val="FollowedHyperlink"/>
    <w:qFormat/>
    <w:uiPriority w:val="99"/>
    <w:rPr>
      <w:color w:val="800080"/>
      <w:u w:val="single"/>
    </w:rPr>
  </w:style>
  <w:style w:type="character" w:styleId="59">
    <w:name w:val="Emphasis"/>
    <w:qFormat/>
    <w:uiPriority w:val="0"/>
    <w:rPr>
      <w:i/>
      <w:iCs/>
    </w:rPr>
  </w:style>
  <w:style w:type="character" w:styleId="60">
    <w:name w:val="Hyperlink"/>
    <w:qFormat/>
    <w:uiPriority w:val="99"/>
    <w:rPr>
      <w:color w:val="0000FF"/>
      <w:u w:val="single"/>
    </w:rPr>
  </w:style>
  <w:style w:type="character" w:styleId="61">
    <w:name w:val="annotation reference"/>
    <w:qFormat/>
    <w:uiPriority w:val="0"/>
    <w:rPr>
      <w:sz w:val="21"/>
      <w:szCs w:val="21"/>
    </w:rPr>
  </w:style>
  <w:style w:type="character" w:styleId="62">
    <w:name w:val="footnote reference"/>
    <w:qFormat/>
    <w:uiPriority w:val="0"/>
    <w:rPr>
      <w:position w:val="6"/>
      <w:sz w:val="18"/>
    </w:rPr>
  </w:style>
  <w:style w:type="paragraph" w:customStyle="1" w:styleId="63">
    <w:name w:val="正文格式"/>
    <w:basedOn w:val="1"/>
    <w:link w:val="478"/>
    <w:qFormat/>
    <w:uiPriority w:val="0"/>
    <w:pPr>
      <w:spacing w:before="120" w:line="400" w:lineRule="exact"/>
      <w:ind w:left="851"/>
      <w:textAlignment w:val="baseline"/>
    </w:pPr>
    <w:rPr>
      <w:rFonts w:eastAsia="宋体"/>
      <w:snapToGrid w:val="0"/>
      <w:kern w:val="0"/>
      <w:szCs w:val="24"/>
    </w:rPr>
  </w:style>
  <w:style w:type="paragraph" w:customStyle="1" w:styleId="64">
    <w:name w:val="Default"/>
    <w:link w:val="481"/>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65">
    <w:name w:val="xl34"/>
    <w:basedOn w:val="1"/>
    <w:qFormat/>
    <w:uiPriority w:val="0"/>
    <w:pPr>
      <w:widowControl/>
      <w:pBdr>
        <w:top w:val="single" w:color="auto" w:sz="4" w:space="0"/>
        <w:lef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66">
    <w:name w:val="样式 标题 1 + 段前: 0.5 行 段后: 1 行1"/>
    <w:basedOn w:val="2"/>
    <w:qFormat/>
    <w:uiPriority w:val="0"/>
    <w:pPr>
      <w:pageBreakBefore/>
      <w:numPr>
        <w:ilvl w:val="0"/>
        <w:numId w:val="0"/>
      </w:numPr>
      <w:spacing w:before="100" w:after="100" w:afterLines="0" w:line="360" w:lineRule="auto"/>
      <w:jc w:val="center"/>
      <w:textAlignment w:val="center"/>
    </w:pPr>
    <w:rPr>
      <w:rFonts w:hAnsi="华文宋体" w:eastAsia="宋体" w:cs="宋体"/>
      <w:b/>
      <w:bCs/>
      <w:spacing w:val="30"/>
      <w:kern w:val="0"/>
      <w:sz w:val="44"/>
    </w:rPr>
  </w:style>
  <w:style w:type="paragraph" w:customStyle="1" w:styleId="67">
    <w:name w:val="xl7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68">
    <w:name w:val="font30"/>
    <w:basedOn w:val="1"/>
    <w:qFormat/>
    <w:uiPriority w:val="0"/>
    <w:pPr>
      <w:widowControl/>
      <w:adjustRightInd/>
      <w:snapToGrid/>
      <w:spacing w:before="100" w:beforeAutospacing="1" w:after="100" w:afterAutospacing="1" w:line="240" w:lineRule="auto"/>
      <w:jc w:val="left"/>
    </w:pPr>
    <w:rPr>
      <w:rFonts w:eastAsia="宋体"/>
      <w:color w:val="000000"/>
      <w:kern w:val="0"/>
      <w:sz w:val="22"/>
      <w:szCs w:val="22"/>
    </w:rPr>
  </w:style>
  <w:style w:type="paragraph" w:customStyle="1" w:styleId="69">
    <w:name w:val="li"/>
    <w:basedOn w:val="70"/>
    <w:qFormat/>
    <w:uiPriority w:val="0"/>
    <w:pPr>
      <w:jc w:val="center"/>
    </w:pPr>
    <w:rPr>
      <w:rFonts w:ascii="Times New Roman" w:hAnsi="Times New Roman"/>
    </w:rPr>
  </w:style>
  <w:style w:type="paragraph" w:customStyle="1" w:styleId="70">
    <w:name w:val="正文1"/>
    <w:qFormat/>
    <w:uiPriority w:val="0"/>
    <w:pPr>
      <w:widowControl w:val="0"/>
      <w:adjustRightInd w:val="0"/>
      <w:spacing w:line="360" w:lineRule="atLeast"/>
      <w:textAlignment w:val="baseline"/>
    </w:pPr>
    <w:rPr>
      <w:rFonts w:ascii="Tms Rmn" w:hAnsi="Tms Rmn" w:eastAsia="宋体" w:cs="Times New Roman"/>
      <w:lang w:val="en-US" w:eastAsia="zh-CN" w:bidi="ar-SA"/>
    </w:rPr>
  </w:style>
  <w:style w:type="paragraph" w:customStyle="1" w:styleId="71">
    <w:name w:val="xl32"/>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72">
    <w:name w:val="xl30"/>
    <w:basedOn w:val="1"/>
    <w:qFormat/>
    <w:uiPriority w:val="0"/>
    <w:pPr>
      <w:widowControl/>
      <w:pBdr>
        <w:top w:val="single" w:color="auto" w:sz="4" w:space="0"/>
        <w:left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73">
    <w:name w:val="Absatz2AL"/>
    <w:basedOn w:val="19"/>
    <w:next w:val="1"/>
    <w:qFormat/>
    <w:uiPriority w:val="0"/>
    <w:pPr>
      <w:widowControl/>
      <w:overflowPunct w:val="0"/>
      <w:autoSpaceDE w:val="0"/>
      <w:autoSpaceDN w:val="0"/>
      <w:snapToGrid/>
      <w:spacing w:after="0" w:line="240" w:lineRule="auto"/>
      <w:textAlignment w:val="baseline"/>
    </w:pPr>
    <w:rPr>
      <w:rFonts w:eastAsia="楷体_GB2312"/>
      <w:kern w:val="0"/>
      <w:lang w:val="de-DE"/>
    </w:rPr>
  </w:style>
  <w:style w:type="paragraph" w:customStyle="1" w:styleId="74">
    <w:name w:val="font38"/>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75">
    <w:name w:val="Char2"/>
    <w:basedOn w:val="1"/>
    <w:qFormat/>
    <w:uiPriority w:val="0"/>
    <w:pPr>
      <w:adjustRightInd/>
      <w:snapToGrid/>
      <w:spacing w:line="240" w:lineRule="auto"/>
    </w:pPr>
    <w:rPr>
      <w:rFonts w:ascii="Tahoma" w:hAnsi="Tahoma" w:eastAsia="宋体"/>
    </w:rPr>
  </w:style>
  <w:style w:type="paragraph" w:customStyle="1" w:styleId="76">
    <w:name w:val="xl36"/>
    <w:basedOn w:val="1"/>
    <w:qFormat/>
    <w:uiPriority w:val="0"/>
    <w:pPr>
      <w:widowControl/>
      <w:pBdr>
        <w:left w:val="single" w:color="auto" w:sz="4" w:space="0"/>
        <w:bottom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77">
    <w:name w:val="xl38"/>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eastAsia="宋体"/>
      <w:kern w:val="0"/>
      <w:szCs w:val="24"/>
    </w:rPr>
  </w:style>
  <w:style w:type="paragraph" w:customStyle="1" w:styleId="78">
    <w:name w:val="样式 样式 标题 2 + 段前: 0.5 行 段后: 7.8 磅 + 段前: 0.5 行1"/>
    <w:basedOn w:val="79"/>
    <w:qFormat/>
    <w:uiPriority w:val="0"/>
    <w:pPr/>
  </w:style>
  <w:style w:type="paragraph" w:customStyle="1" w:styleId="79">
    <w:name w:val="样式 标题 2 + 段前: 0.5 行 段后: 7.8 磅"/>
    <w:basedOn w:val="3"/>
    <w:qFormat/>
    <w:uiPriority w:val="0"/>
    <w:pPr>
      <w:keepLines w:val="0"/>
      <w:tabs>
        <w:tab w:val="clear" w:pos="560"/>
      </w:tabs>
      <w:spacing w:before="50" w:beforeLines="50"/>
      <w:textAlignment w:val="center"/>
    </w:pPr>
    <w:rPr>
      <w:rFonts w:ascii="宋体" w:hAnsi="Times New Roman" w:eastAsia="宋体" w:cs="宋体"/>
      <w:spacing w:val="0"/>
      <w:kern w:val="2"/>
      <w:sz w:val="32"/>
    </w:rPr>
  </w:style>
  <w:style w:type="paragraph" w:customStyle="1" w:styleId="80">
    <w:name w:val="xl25"/>
    <w:basedOn w:val="1"/>
    <w:qFormat/>
    <w:uiPriority w:val="0"/>
    <w:pPr>
      <w:widowControl/>
      <w:pBdr>
        <w:bottom w:val="single" w:color="auto" w:sz="4" w:space="0"/>
        <w:right w:val="single" w:color="auto" w:sz="4" w:space="0"/>
      </w:pBdr>
      <w:adjustRightInd/>
      <w:snapToGrid/>
      <w:spacing w:before="100" w:beforeAutospacing="1" w:after="100" w:afterAutospacing="1" w:line="240" w:lineRule="auto"/>
      <w:jc w:val="center"/>
      <w:textAlignment w:val="top"/>
    </w:pPr>
    <w:rPr>
      <w:rFonts w:ascii="Courier New" w:hAnsi="Courier New" w:eastAsia="宋体" w:cs="Courier New"/>
      <w:kern w:val="0"/>
      <w:szCs w:val="24"/>
    </w:rPr>
  </w:style>
  <w:style w:type="paragraph" w:customStyle="1" w:styleId="81">
    <w:name w:val="font35"/>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FF"/>
      <w:kern w:val="0"/>
      <w:sz w:val="22"/>
      <w:szCs w:val="22"/>
    </w:rPr>
  </w:style>
  <w:style w:type="paragraph" w:customStyle="1" w:styleId="82">
    <w:name w:val="正文表格"/>
    <w:basedOn w:val="1"/>
    <w:qFormat/>
    <w:uiPriority w:val="0"/>
    <w:pPr>
      <w:keepNext/>
      <w:keepLines/>
      <w:tabs>
        <w:tab w:val="center" w:pos="6804"/>
      </w:tabs>
      <w:overflowPunct w:val="0"/>
      <w:snapToGrid/>
      <w:spacing w:before="80" w:line="240" w:lineRule="auto"/>
      <w:jc w:val="center"/>
      <w:textAlignment w:val="bottom"/>
    </w:pPr>
    <w:rPr>
      <w:rFonts w:eastAsia="宋体"/>
      <w:kern w:val="0"/>
      <w:sz w:val="28"/>
    </w:rPr>
  </w:style>
  <w:style w:type="paragraph" w:customStyle="1" w:styleId="83">
    <w:name w:val="xl28"/>
    <w:basedOn w:val="1"/>
    <w:qFormat/>
    <w:uiPriority w:val="0"/>
    <w:pPr>
      <w:widowControl/>
      <w:pBdr>
        <w:top w:val="single" w:color="auto" w:sz="4" w:space="0"/>
        <w:left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84">
    <w:name w:val="xl37"/>
    <w:basedOn w:val="1"/>
    <w:qFormat/>
    <w:uiPriority w:val="0"/>
    <w:pPr>
      <w:widowControl/>
      <w:pBdr>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85">
    <w:name w:val="soustitre"/>
    <w:basedOn w:val="1"/>
    <w:qFormat/>
    <w:uiPriority w:val="0"/>
    <w:pPr>
      <w:widowControl/>
      <w:tabs>
        <w:tab w:val="left" w:pos="525"/>
      </w:tabs>
      <w:overflowPunct w:val="0"/>
      <w:autoSpaceDE w:val="0"/>
      <w:autoSpaceDN w:val="0"/>
      <w:snapToGrid/>
      <w:spacing w:line="400" w:lineRule="exact"/>
      <w:jc w:val="center"/>
      <w:textAlignment w:val="baseline"/>
    </w:pPr>
    <w:rPr>
      <w:rFonts w:ascii="New York" w:hAnsi="New York" w:eastAsia="楷体_GB2312"/>
      <w:kern w:val="0"/>
      <w:position w:val="-6"/>
      <w:lang w:val="fr-FR"/>
    </w:rPr>
  </w:style>
  <w:style w:type="paragraph" w:customStyle="1" w:styleId="86">
    <w:name w:val="xl10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87">
    <w:name w:val="font42"/>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88">
    <w:name w:val="font22"/>
    <w:basedOn w:val="1"/>
    <w:qFormat/>
    <w:uiPriority w:val="0"/>
    <w:pPr>
      <w:widowControl/>
      <w:adjustRightInd/>
      <w:snapToGrid/>
      <w:spacing w:before="100" w:beforeAutospacing="1" w:after="100" w:afterAutospacing="1" w:line="240" w:lineRule="auto"/>
      <w:jc w:val="left"/>
    </w:pPr>
    <w:rPr>
      <w:rFonts w:eastAsia="宋体"/>
      <w:kern w:val="0"/>
      <w:sz w:val="22"/>
      <w:szCs w:val="22"/>
    </w:rPr>
  </w:style>
  <w:style w:type="paragraph" w:customStyle="1" w:styleId="89">
    <w:name w:val="Normal1"/>
    <w:next w:val="1"/>
    <w:qFormat/>
    <w:uiPriority w:val="0"/>
    <w:pPr>
      <w:overflowPunct w:val="0"/>
      <w:autoSpaceDE w:val="0"/>
      <w:autoSpaceDN w:val="0"/>
      <w:adjustRightInd w:val="0"/>
      <w:textAlignment w:val="baseline"/>
    </w:pPr>
    <w:rPr>
      <w:rFonts w:ascii="Times" w:hAnsi="Times" w:eastAsia="宋体" w:cs="Times New Roman"/>
      <w:sz w:val="24"/>
      <w:lang w:val="fr-FR" w:eastAsia="zh-CN" w:bidi="ar-SA"/>
    </w:rPr>
  </w:style>
  <w:style w:type="paragraph" w:customStyle="1" w:styleId="90">
    <w:name w:val="xl9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color w:val="000000"/>
      <w:kern w:val="0"/>
      <w:szCs w:val="24"/>
    </w:rPr>
  </w:style>
  <w:style w:type="paragraph" w:customStyle="1" w:styleId="91">
    <w:name w:val="font14"/>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92">
    <w:name w:val="font6"/>
    <w:basedOn w:val="1"/>
    <w:qFormat/>
    <w:uiPriority w:val="0"/>
    <w:pPr>
      <w:widowControl/>
      <w:adjustRightInd/>
      <w:snapToGrid/>
      <w:spacing w:before="100" w:beforeAutospacing="1" w:after="100" w:afterAutospacing="1" w:line="240" w:lineRule="auto"/>
      <w:jc w:val="left"/>
    </w:pPr>
    <w:rPr>
      <w:rFonts w:eastAsia="宋体"/>
      <w:kern w:val="0"/>
      <w:szCs w:val="24"/>
    </w:rPr>
  </w:style>
  <w:style w:type="paragraph" w:customStyle="1" w:styleId="93">
    <w:name w:val="默认段落字体 Para Char Char Char Char"/>
    <w:basedOn w:val="1"/>
    <w:qFormat/>
    <w:uiPriority w:val="0"/>
    <w:pPr>
      <w:adjustRightInd/>
      <w:snapToGrid/>
      <w:spacing w:line="240" w:lineRule="auto"/>
    </w:pPr>
    <w:rPr>
      <w:rFonts w:eastAsia="宋体"/>
      <w:sz w:val="21"/>
      <w:szCs w:val="24"/>
    </w:rPr>
  </w:style>
  <w:style w:type="paragraph" w:customStyle="1" w:styleId="94">
    <w:name w:val="font44"/>
    <w:basedOn w:val="1"/>
    <w:qFormat/>
    <w:uiPriority w:val="0"/>
    <w:pPr>
      <w:widowControl/>
      <w:adjustRightInd/>
      <w:snapToGrid/>
      <w:spacing w:before="100" w:beforeAutospacing="1" w:after="100" w:afterAutospacing="1" w:line="240" w:lineRule="auto"/>
      <w:jc w:val="left"/>
    </w:pPr>
    <w:rPr>
      <w:rFonts w:ascii="宋体" w:hAnsi="宋体" w:eastAsia="宋体" w:cs="宋体"/>
      <w:color w:val="FF0000"/>
      <w:kern w:val="0"/>
      <w:sz w:val="16"/>
      <w:szCs w:val="16"/>
    </w:rPr>
  </w:style>
  <w:style w:type="paragraph" w:customStyle="1" w:styleId="95">
    <w:name w:val="Char"/>
    <w:basedOn w:val="1"/>
    <w:qFormat/>
    <w:uiPriority w:val="0"/>
    <w:pPr>
      <w:adjustRightInd/>
      <w:snapToGrid/>
      <w:spacing w:beforeLines="100" w:line="240" w:lineRule="auto"/>
    </w:pPr>
    <w:rPr>
      <w:rFonts w:eastAsia="宋体"/>
      <w:sz w:val="21"/>
    </w:rPr>
  </w:style>
  <w:style w:type="paragraph" w:customStyle="1" w:styleId="96">
    <w:name w:val="font47"/>
    <w:basedOn w:val="1"/>
    <w:qFormat/>
    <w:uiPriority w:val="0"/>
    <w:pPr>
      <w:widowControl/>
      <w:adjustRightInd/>
      <w:snapToGrid/>
      <w:spacing w:before="100" w:beforeAutospacing="1" w:after="100" w:afterAutospacing="1" w:line="240" w:lineRule="auto"/>
      <w:jc w:val="left"/>
    </w:pPr>
    <w:rPr>
      <w:rFonts w:ascii="宋体" w:hAnsi="宋体" w:eastAsia="宋体" w:cs="宋体"/>
      <w:color w:val="FF0000"/>
      <w:kern w:val="0"/>
      <w:sz w:val="22"/>
      <w:szCs w:val="22"/>
    </w:rPr>
  </w:style>
  <w:style w:type="paragraph" w:customStyle="1" w:styleId="97">
    <w:name w:val="font17"/>
    <w:basedOn w:val="1"/>
    <w:qFormat/>
    <w:uiPriority w:val="0"/>
    <w:pPr>
      <w:widowControl/>
      <w:adjustRightInd/>
      <w:snapToGrid/>
      <w:spacing w:before="100" w:beforeAutospacing="1" w:after="100" w:afterAutospacing="1" w:line="240" w:lineRule="auto"/>
      <w:jc w:val="left"/>
    </w:pPr>
    <w:rPr>
      <w:rFonts w:eastAsia="宋体"/>
      <w:color w:val="FF0000"/>
      <w:kern w:val="0"/>
      <w:sz w:val="22"/>
      <w:szCs w:val="22"/>
    </w:rPr>
  </w:style>
  <w:style w:type="paragraph" w:customStyle="1" w:styleId="98">
    <w:name w:val="È±Ê¡ÎÄ±¾"/>
    <w:basedOn w:val="1"/>
    <w:qFormat/>
    <w:uiPriority w:val="0"/>
    <w:pPr>
      <w:widowControl/>
      <w:overflowPunct w:val="0"/>
      <w:autoSpaceDE w:val="0"/>
      <w:autoSpaceDN w:val="0"/>
      <w:snapToGrid/>
      <w:spacing w:line="240" w:lineRule="auto"/>
      <w:jc w:val="left"/>
      <w:textAlignment w:val="baseline"/>
    </w:pPr>
    <w:rPr>
      <w:rFonts w:eastAsia="宋体"/>
      <w:kern w:val="0"/>
    </w:rPr>
  </w:style>
  <w:style w:type="paragraph" w:customStyle="1" w:styleId="99">
    <w:name w:val=" Char"/>
    <w:basedOn w:val="1"/>
    <w:qFormat/>
    <w:uiPriority w:val="0"/>
    <w:pPr>
      <w:adjustRightInd/>
      <w:snapToGrid/>
      <w:spacing w:line="240" w:lineRule="auto"/>
    </w:pPr>
    <w:rPr>
      <w:rFonts w:eastAsia="宋体"/>
      <w:sz w:val="21"/>
      <w:szCs w:val="24"/>
    </w:rPr>
  </w:style>
  <w:style w:type="paragraph" w:customStyle="1" w:styleId="100">
    <w:name w:val="font24"/>
    <w:basedOn w:val="1"/>
    <w:qFormat/>
    <w:uiPriority w:val="0"/>
    <w:pPr>
      <w:widowControl/>
      <w:adjustRightInd/>
      <w:snapToGrid/>
      <w:spacing w:before="100" w:beforeAutospacing="1" w:after="100" w:afterAutospacing="1" w:line="240" w:lineRule="auto"/>
      <w:jc w:val="left"/>
    </w:pPr>
    <w:rPr>
      <w:rFonts w:ascii="Microsoft YaHei UI Light" w:hAnsi="Microsoft YaHei UI Light" w:eastAsia="Microsoft YaHei UI Light" w:cs="宋体"/>
      <w:kern w:val="0"/>
      <w:sz w:val="22"/>
      <w:szCs w:val="22"/>
    </w:rPr>
  </w:style>
  <w:style w:type="paragraph" w:customStyle="1" w:styleId="101">
    <w:name w:val="par 1"/>
    <w:basedOn w:val="1"/>
    <w:qFormat/>
    <w:uiPriority w:val="0"/>
    <w:pPr>
      <w:widowControl/>
      <w:numPr>
        <w:ilvl w:val="0"/>
        <w:numId w:val="4"/>
      </w:numPr>
      <w:tabs>
        <w:tab w:val="right" w:pos="2268"/>
        <w:tab w:val="decimal" w:pos="2552"/>
        <w:tab w:val="left" w:pos="3402"/>
      </w:tabs>
      <w:adjustRightInd/>
      <w:snapToGrid/>
      <w:spacing w:before="60" w:after="60" w:line="240" w:lineRule="auto"/>
    </w:pPr>
    <w:rPr>
      <w:rFonts w:ascii="Verdana" w:hAnsi="Verdana" w:eastAsia="宋体"/>
      <w:kern w:val="0"/>
      <w:sz w:val="20"/>
    </w:rPr>
  </w:style>
  <w:style w:type="paragraph" w:customStyle="1" w:styleId="102">
    <w:name w:val="xl8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103">
    <w:name w:val="xl8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04">
    <w:name w:val="样式1"/>
    <w:basedOn w:val="1"/>
    <w:qFormat/>
    <w:uiPriority w:val="0"/>
    <w:pPr>
      <w:adjustRightInd/>
      <w:snapToGrid/>
      <w:spacing w:line="480" w:lineRule="exact"/>
      <w:ind w:firstLine="584" w:firstLineChars="200"/>
    </w:pPr>
    <w:rPr>
      <w:rFonts w:eastAsia="宋体"/>
      <w:spacing w:val="6"/>
      <w:sz w:val="28"/>
      <w:szCs w:val="24"/>
    </w:rPr>
  </w:style>
  <w:style w:type="paragraph" w:customStyle="1" w:styleId="105">
    <w:name w:val="表头"/>
    <w:basedOn w:val="1"/>
    <w:next w:val="106"/>
    <w:qFormat/>
    <w:uiPriority w:val="0"/>
    <w:pPr>
      <w:keepNext/>
      <w:spacing w:before="100" w:after="50"/>
      <w:jc w:val="center"/>
      <w:textAlignment w:val="baseline"/>
      <w:outlineLvl w:val="8"/>
    </w:pPr>
    <w:rPr>
      <w:rFonts w:eastAsia="宋体"/>
      <w:b/>
      <w:snapToGrid w:val="0"/>
      <w:spacing w:val="30"/>
      <w:kern w:val="0"/>
      <w:sz w:val="30"/>
      <w:szCs w:val="28"/>
    </w:rPr>
  </w:style>
  <w:style w:type="paragraph" w:customStyle="1" w:styleId="106">
    <w:name w:val="表格文字"/>
    <w:basedOn w:val="19"/>
    <w:qFormat/>
    <w:uiPriority w:val="0"/>
    <w:pPr>
      <w:wordWrap w:val="0"/>
      <w:spacing w:before="60" w:after="60" w:line="360" w:lineRule="atLeast"/>
      <w:jc w:val="center"/>
      <w:textAlignment w:val="baseline"/>
    </w:pPr>
    <w:rPr>
      <w:rFonts w:eastAsia="宋体"/>
      <w:snapToGrid w:val="0"/>
      <w:kern w:val="0"/>
      <w:sz w:val="28"/>
      <w:szCs w:val="28"/>
    </w:rPr>
  </w:style>
  <w:style w:type="paragraph" w:customStyle="1" w:styleId="107">
    <w:name w:val="xl6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108">
    <w:name w:val="Char Char Char Char Char Char Char"/>
    <w:basedOn w:val="1"/>
    <w:qFormat/>
    <w:uiPriority w:val="0"/>
    <w:pPr>
      <w:adjustRightInd/>
      <w:snapToGrid/>
      <w:spacing w:line="240" w:lineRule="auto"/>
    </w:pPr>
    <w:rPr>
      <w:rFonts w:eastAsia="宋体"/>
      <w:sz w:val="21"/>
    </w:rPr>
  </w:style>
  <w:style w:type="paragraph" w:customStyle="1" w:styleId="109">
    <w:name w:val="font15"/>
    <w:basedOn w:val="1"/>
    <w:qFormat/>
    <w:uiPriority w:val="0"/>
    <w:pPr>
      <w:widowControl/>
      <w:adjustRightInd/>
      <w:snapToGrid/>
      <w:spacing w:before="100" w:beforeAutospacing="1" w:after="100" w:afterAutospacing="1" w:line="240" w:lineRule="auto"/>
      <w:jc w:val="left"/>
    </w:pPr>
    <w:rPr>
      <w:rFonts w:eastAsia="宋体"/>
      <w:color w:val="000000"/>
      <w:kern w:val="0"/>
      <w:sz w:val="20"/>
    </w:rPr>
  </w:style>
  <w:style w:type="paragraph" w:customStyle="1" w:styleId="110">
    <w:name w:val="标题1"/>
    <w:basedOn w:val="1"/>
    <w:qFormat/>
    <w:uiPriority w:val="0"/>
    <w:pPr>
      <w:adjustRightInd/>
      <w:snapToGrid/>
      <w:spacing w:line="240" w:lineRule="auto"/>
      <w:ind w:firstLine="602" w:firstLineChars="200"/>
      <w:jc w:val="left"/>
    </w:pPr>
    <w:rPr>
      <w:rFonts w:ascii="仿宋_GB2312" w:hAnsi="Courier New"/>
      <w:b/>
      <w:sz w:val="30"/>
      <w:szCs w:val="30"/>
    </w:rPr>
  </w:style>
  <w:style w:type="paragraph" w:customStyle="1" w:styleId="111">
    <w:name w:val="Char Char Char Char"/>
    <w:basedOn w:val="1"/>
    <w:qFormat/>
    <w:uiPriority w:val="0"/>
    <w:pPr>
      <w:widowControl/>
      <w:adjustRightInd/>
      <w:snapToGrid/>
      <w:spacing w:after="160" w:line="240" w:lineRule="exact"/>
      <w:jc w:val="left"/>
    </w:pPr>
    <w:rPr>
      <w:rFonts w:ascii="宋体" w:hAnsi="宋体" w:eastAsia="宋体"/>
      <w:kern w:val="0"/>
      <w:sz w:val="20"/>
      <w:lang w:eastAsia="en-US"/>
    </w:rPr>
  </w:style>
  <w:style w:type="paragraph" w:customStyle="1" w:styleId="112">
    <w:name w:val="二级标题"/>
    <w:basedOn w:val="26"/>
    <w:qFormat/>
    <w:uiPriority w:val="0"/>
  </w:style>
  <w:style w:type="paragraph" w:customStyle="1" w:styleId="113">
    <w:name w:val="xl6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14">
    <w:name w:val="默认段落字体 Para Char"/>
    <w:basedOn w:val="1"/>
    <w:qFormat/>
    <w:uiPriority w:val="0"/>
    <w:pPr>
      <w:widowControl/>
      <w:adjustRightInd/>
      <w:snapToGrid/>
      <w:spacing w:line="240" w:lineRule="auto"/>
      <w:jc w:val="left"/>
    </w:pPr>
    <w:rPr>
      <w:rFonts w:ascii="宋体" w:hAnsi="宋体" w:eastAsia="宋体" w:cs="宋体"/>
      <w:kern w:val="0"/>
    </w:rPr>
  </w:style>
  <w:style w:type="paragraph" w:customStyle="1" w:styleId="115">
    <w:name w:val="三级标题"/>
    <w:basedOn w:val="26"/>
    <w:next w:val="1"/>
    <w:qFormat/>
    <w:uiPriority w:val="0"/>
  </w:style>
  <w:style w:type="paragraph" w:customStyle="1" w:styleId="116">
    <w:name w:val="font23"/>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117">
    <w:name w:val="样式 表格文字 + 段后: 7.8 磅"/>
    <w:basedOn w:val="1"/>
    <w:qFormat/>
    <w:uiPriority w:val="0"/>
    <w:pPr>
      <w:wordWrap w:val="0"/>
      <w:spacing w:after="156"/>
      <w:jc w:val="center"/>
      <w:textAlignment w:val="baseline"/>
    </w:pPr>
    <w:rPr>
      <w:rFonts w:eastAsia="宋体" w:cs="宋体"/>
      <w:snapToGrid w:val="0"/>
      <w:spacing w:val="30"/>
      <w:kern w:val="0"/>
      <w:sz w:val="28"/>
    </w:rPr>
  </w:style>
  <w:style w:type="paragraph" w:customStyle="1" w:styleId="118">
    <w:name w:val="xl8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119">
    <w:name w:val="font21"/>
    <w:basedOn w:val="1"/>
    <w:qFormat/>
    <w:uiPriority w:val="0"/>
    <w:pPr>
      <w:widowControl/>
      <w:adjustRightInd/>
      <w:snapToGrid/>
      <w:spacing w:before="100" w:beforeAutospacing="1" w:after="100" w:afterAutospacing="1" w:line="240" w:lineRule="auto"/>
      <w:jc w:val="left"/>
    </w:pPr>
    <w:rPr>
      <w:rFonts w:ascii="Malgun Gothic Semilight" w:hAnsi="Malgun Gothic Semilight" w:eastAsia="Malgun Gothic Semilight" w:cs="Malgun Gothic Semilight"/>
      <w:kern w:val="0"/>
      <w:sz w:val="22"/>
      <w:szCs w:val="22"/>
    </w:rPr>
  </w:style>
  <w:style w:type="paragraph" w:customStyle="1" w:styleId="120">
    <w:name w:val="font5"/>
    <w:basedOn w:val="1"/>
    <w:qFormat/>
    <w:uiPriority w:val="0"/>
    <w:pPr>
      <w:widowControl/>
      <w:adjustRightInd/>
      <w:snapToGrid/>
      <w:spacing w:before="100" w:beforeAutospacing="1" w:after="100" w:afterAutospacing="1" w:line="240" w:lineRule="auto"/>
      <w:jc w:val="left"/>
    </w:pPr>
    <w:rPr>
      <w:rFonts w:hint="eastAsia" w:ascii="宋体" w:hAnsi="宋体" w:eastAsia="宋体"/>
      <w:kern w:val="0"/>
      <w:sz w:val="18"/>
      <w:szCs w:val="18"/>
    </w:rPr>
  </w:style>
  <w:style w:type="paragraph" w:customStyle="1" w:styleId="121">
    <w:name w:val="样式 首行缩进:  2 字符"/>
    <w:basedOn w:val="1"/>
    <w:qFormat/>
    <w:uiPriority w:val="0"/>
    <w:pPr>
      <w:ind w:firstLine="680" w:firstLineChars="200"/>
      <w:textAlignment w:val="center"/>
    </w:pPr>
    <w:rPr>
      <w:rFonts w:eastAsia="宋体" w:cs="宋体"/>
      <w:snapToGrid w:val="0"/>
      <w:spacing w:val="30"/>
      <w:kern w:val="0"/>
      <w:sz w:val="28"/>
      <w:szCs w:val="28"/>
    </w:rPr>
  </w:style>
  <w:style w:type="paragraph" w:customStyle="1" w:styleId="122">
    <w:name w:val="xl8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kern w:val="0"/>
      <w:szCs w:val="24"/>
    </w:rPr>
  </w:style>
  <w:style w:type="paragraph" w:customStyle="1" w:styleId="123">
    <w:name w:val="页脚1"/>
    <w:basedOn w:val="1"/>
    <w:qFormat/>
    <w:uiPriority w:val="0"/>
    <w:pPr>
      <w:tabs>
        <w:tab w:val="center" w:pos="4320"/>
        <w:tab w:val="right" w:pos="8640"/>
      </w:tabs>
      <w:snapToGrid/>
      <w:spacing w:line="312" w:lineRule="atLeast"/>
      <w:textAlignment w:val="baseline"/>
    </w:pPr>
    <w:rPr>
      <w:rFonts w:ascii="Tms Rmn" w:hAnsi="Tms Rmn" w:eastAsia="宋体"/>
      <w:kern w:val="0"/>
      <w:sz w:val="20"/>
    </w:rPr>
  </w:style>
  <w:style w:type="paragraph" w:customStyle="1" w:styleId="124">
    <w:name w:val="样式 标题 1 + 段前: 0.5 行 段后: 1 行"/>
    <w:basedOn w:val="2"/>
    <w:qFormat/>
    <w:uiPriority w:val="0"/>
    <w:pPr>
      <w:pageBreakBefore/>
      <w:numPr>
        <w:ilvl w:val="0"/>
        <w:numId w:val="0"/>
      </w:numPr>
      <w:spacing w:before="50" w:beforeLines="50" w:after="50" w:line="360" w:lineRule="auto"/>
      <w:jc w:val="center"/>
      <w:textAlignment w:val="center"/>
    </w:pPr>
    <w:rPr>
      <w:rFonts w:hAnsi="华文宋体" w:eastAsia="宋体" w:cs="宋体"/>
      <w:b/>
      <w:bCs/>
      <w:spacing w:val="30"/>
      <w:kern w:val="0"/>
      <w:sz w:val="44"/>
    </w:rPr>
  </w:style>
  <w:style w:type="paragraph" w:customStyle="1" w:styleId="125">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26">
    <w:name w:val="font46"/>
    <w:basedOn w:val="1"/>
    <w:qFormat/>
    <w:uiPriority w:val="0"/>
    <w:pPr>
      <w:widowControl/>
      <w:adjustRightInd/>
      <w:snapToGrid/>
      <w:spacing w:before="100" w:beforeAutospacing="1" w:after="100" w:afterAutospacing="1" w:line="240" w:lineRule="auto"/>
      <w:jc w:val="left"/>
    </w:pPr>
    <w:rPr>
      <w:rFonts w:eastAsia="宋体"/>
      <w:color w:val="FF0000"/>
      <w:kern w:val="0"/>
      <w:sz w:val="16"/>
      <w:szCs w:val="16"/>
    </w:rPr>
  </w:style>
  <w:style w:type="paragraph" w:customStyle="1" w:styleId="127">
    <w:name w:val="样式 标题 2 + 段前: 0.5 行"/>
    <w:basedOn w:val="3"/>
    <w:qFormat/>
    <w:uiPriority w:val="0"/>
    <w:pPr>
      <w:keepLines w:val="0"/>
      <w:numPr>
        <w:ilvl w:val="1"/>
        <w:numId w:val="0"/>
      </w:numPr>
      <w:tabs>
        <w:tab w:val="left" w:pos="567"/>
        <w:tab w:val="clear" w:pos="560"/>
      </w:tabs>
      <w:spacing w:before="150"/>
      <w:ind w:left="567" w:hanging="567"/>
    </w:pPr>
    <w:rPr>
      <w:rFonts w:ascii="宋体" w:hAnsi="Times New Roman" w:eastAsia="宋体" w:cs="宋体"/>
      <w:spacing w:val="0"/>
      <w:kern w:val="2"/>
      <w:sz w:val="32"/>
      <w:szCs w:val="32"/>
    </w:rPr>
  </w:style>
  <w:style w:type="paragraph" w:customStyle="1" w:styleId="128">
    <w:name w:val="xl8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29">
    <w:name w:val="缺省文本"/>
    <w:basedOn w:val="1"/>
    <w:qFormat/>
    <w:uiPriority w:val="0"/>
    <w:pPr>
      <w:autoSpaceDE w:val="0"/>
      <w:autoSpaceDN w:val="0"/>
      <w:snapToGrid/>
      <w:spacing w:line="240" w:lineRule="auto"/>
      <w:jc w:val="left"/>
    </w:pPr>
    <w:rPr>
      <w:kern w:val="0"/>
    </w:rPr>
  </w:style>
  <w:style w:type="paragraph" w:customStyle="1" w:styleId="130">
    <w:name w:val="首行缩进:  2 字符"/>
    <w:basedOn w:val="1"/>
    <w:qFormat/>
    <w:uiPriority w:val="0"/>
    <w:pPr>
      <w:ind w:firstLine="200" w:firstLineChars="200"/>
      <w:textAlignment w:val="center"/>
    </w:pPr>
    <w:rPr>
      <w:rFonts w:eastAsia="宋体" w:cs="宋体"/>
      <w:snapToGrid w:val="0"/>
      <w:spacing w:val="30"/>
      <w:kern w:val="0"/>
      <w:sz w:val="28"/>
      <w:szCs w:val="28"/>
    </w:rPr>
  </w:style>
  <w:style w:type="paragraph" w:customStyle="1" w:styleId="131">
    <w:name w:val="样式 样式 标题 2 + 段前: 0.5 行 段后: 7.8 磅 + 段前: 0.5 行"/>
    <w:basedOn w:val="79"/>
    <w:qFormat/>
    <w:uiPriority w:val="0"/>
    <w:pPr/>
  </w:style>
  <w:style w:type="paragraph" w:customStyle="1" w:styleId="132">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133">
    <w:name w:val="font45"/>
    <w:basedOn w:val="1"/>
    <w:qFormat/>
    <w:uiPriority w:val="0"/>
    <w:pPr>
      <w:widowControl/>
      <w:adjustRightInd/>
      <w:snapToGrid/>
      <w:spacing w:before="100" w:beforeAutospacing="1" w:after="100" w:afterAutospacing="1" w:line="240" w:lineRule="auto"/>
      <w:jc w:val="left"/>
    </w:pPr>
    <w:rPr>
      <w:rFonts w:eastAsia="宋体"/>
      <w:kern w:val="0"/>
      <w:sz w:val="16"/>
      <w:szCs w:val="16"/>
    </w:rPr>
  </w:style>
  <w:style w:type="paragraph" w:customStyle="1" w:styleId="134">
    <w:name w:val="font20"/>
    <w:basedOn w:val="1"/>
    <w:qFormat/>
    <w:uiPriority w:val="0"/>
    <w:pPr>
      <w:widowControl/>
      <w:adjustRightInd/>
      <w:snapToGrid/>
      <w:spacing w:before="100" w:beforeAutospacing="1" w:after="100" w:afterAutospacing="1" w:line="240" w:lineRule="auto"/>
      <w:jc w:val="left"/>
    </w:pPr>
    <w:rPr>
      <w:rFonts w:ascii="宋体" w:hAnsi="宋体" w:eastAsia="宋体" w:cs="宋体"/>
      <w:color w:val="FF0000"/>
      <w:kern w:val="0"/>
      <w:sz w:val="22"/>
      <w:szCs w:val="22"/>
    </w:rPr>
  </w:style>
  <w:style w:type="paragraph" w:customStyle="1" w:styleId="135">
    <w:name w:val="Bodytext"/>
    <w:basedOn w:val="1"/>
    <w:qFormat/>
    <w:uiPriority w:val="0"/>
    <w:pPr>
      <w:widowControl/>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djustRightInd/>
      <w:snapToGrid/>
      <w:spacing w:before="240" w:line="300" w:lineRule="atLeast"/>
      <w:jc w:val="left"/>
    </w:pPr>
    <w:rPr>
      <w:rFonts w:ascii="Arial" w:hAnsi="Arial" w:eastAsia="宋体"/>
      <w:kern w:val="0"/>
      <w:sz w:val="18"/>
      <w:lang w:eastAsia="en-US"/>
    </w:rPr>
  </w:style>
  <w:style w:type="paragraph" w:customStyle="1" w:styleId="136">
    <w:name w:val="样式 标题 3 + 段前: 0.5 行"/>
    <w:basedOn w:val="5"/>
    <w:qFormat/>
    <w:uiPriority w:val="0"/>
    <w:pPr>
      <w:numPr>
        <w:ilvl w:val="0"/>
        <w:numId w:val="0"/>
      </w:numPr>
      <w:spacing w:before="190"/>
      <w:textAlignment w:val="center"/>
    </w:pPr>
    <w:rPr>
      <w:rFonts w:eastAsia="宋体" w:cs="宋体"/>
      <w:b/>
      <w:snapToGrid w:val="0"/>
      <w:kern w:val="0"/>
      <w:sz w:val="30"/>
    </w:rPr>
  </w:style>
  <w:style w:type="paragraph" w:customStyle="1" w:styleId="137">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38">
    <w:name w:val="font33"/>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139">
    <w:name w:val="页眉1"/>
    <w:basedOn w:val="70"/>
    <w:qFormat/>
    <w:uiPriority w:val="0"/>
  </w:style>
  <w:style w:type="paragraph" w:customStyle="1" w:styleId="140">
    <w:name w:val="样式 表格文字"/>
    <w:basedOn w:val="1"/>
    <w:qFormat/>
    <w:uiPriority w:val="0"/>
    <w:pPr>
      <w:wordWrap w:val="0"/>
      <w:jc w:val="center"/>
      <w:textAlignment w:val="baseline"/>
    </w:pPr>
    <w:rPr>
      <w:rFonts w:eastAsia="宋体" w:cs="宋体"/>
      <w:snapToGrid w:val="0"/>
      <w:spacing w:val="30"/>
      <w:kern w:val="0"/>
      <w:sz w:val="28"/>
    </w:rPr>
  </w:style>
  <w:style w:type="paragraph" w:customStyle="1" w:styleId="141">
    <w:name w:val="xl15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142">
    <w:name w:val="样式 表格文字 + 两端对齐"/>
    <w:basedOn w:val="106"/>
    <w:qFormat/>
    <w:uiPriority w:val="0"/>
    <w:pPr>
      <w:contextualSpacing/>
      <w:jc w:val="both"/>
    </w:pPr>
    <w:rPr>
      <w:rFonts w:cs="宋体"/>
    </w:rPr>
  </w:style>
  <w:style w:type="paragraph" w:customStyle="1" w:styleId="143">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44">
    <w:name w:val="xl2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145">
    <w:name w:val="样式 表头 + 段前: 0.5 行"/>
    <w:basedOn w:val="1"/>
    <w:qFormat/>
    <w:uiPriority w:val="0"/>
    <w:pPr>
      <w:keepNext/>
      <w:spacing w:before="190" w:beforeLines="50"/>
      <w:jc w:val="center"/>
      <w:textAlignment w:val="center"/>
    </w:pPr>
    <w:rPr>
      <w:rFonts w:eastAsia="宋体" w:cs="宋体"/>
      <w:b/>
      <w:bCs/>
      <w:snapToGrid w:val="0"/>
      <w:spacing w:val="50"/>
      <w:kern w:val="0"/>
      <w:sz w:val="30"/>
    </w:rPr>
  </w:style>
  <w:style w:type="paragraph" w:customStyle="1" w:styleId="146">
    <w:name w:val="xl7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147">
    <w:name w:val="font28"/>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148">
    <w:name w:val="样式 标题 2 + 段前: 0.5 行1"/>
    <w:basedOn w:val="3"/>
    <w:qFormat/>
    <w:uiPriority w:val="0"/>
    <w:pPr>
      <w:keepLines w:val="0"/>
      <w:tabs>
        <w:tab w:val="clear" w:pos="560"/>
      </w:tabs>
      <w:spacing w:before="150"/>
      <w:textAlignment w:val="center"/>
    </w:pPr>
    <w:rPr>
      <w:rFonts w:ascii="宋体" w:hAnsi="Times New Roman" w:eastAsia="宋体" w:cs="宋体"/>
      <w:spacing w:val="0"/>
      <w:kern w:val="2"/>
      <w:sz w:val="32"/>
    </w:rPr>
  </w:style>
  <w:style w:type="paragraph" w:customStyle="1" w:styleId="149">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50">
    <w:name w:val="font27"/>
    <w:basedOn w:val="1"/>
    <w:qFormat/>
    <w:uiPriority w:val="0"/>
    <w:pPr>
      <w:widowControl/>
      <w:adjustRightInd/>
      <w:snapToGrid/>
      <w:spacing w:before="100" w:beforeAutospacing="1" w:after="100" w:afterAutospacing="1" w:line="240" w:lineRule="auto"/>
      <w:jc w:val="left"/>
    </w:pPr>
    <w:rPr>
      <w:rFonts w:ascii="宋体" w:hAnsi="宋体" w:eastAsia="宋体" w:cs="宋体"/>
      <w:color w:val="FF0000"/>
      <w:kern w:val="0"/>
      <w:sz w:val="22"/>
      <w:szCs w:val="22"/>
    </w:rPr>
  </w:style>
  <w:style w:type="paragraph" w:customStyle="1" w:styleId="151">
    <w:name w:val="xl41"/>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152">
    <w:name w:val="样式 样式 标题 1 + 段前: 0.5 行 段后: 1 行 + 段前: 0.5 行 段后: 0.5 行"/>
    <w:basedOn w:val="124"/>
    <w:next w:val="1"/>
    <w:qFormat/>
    <w:uiPriority w:val="0"/>
  </w:style>
  <w:style w:type="paragraph" w:customStyle="1" w:styleId="153">
    <w:name w:val="xl7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54">
    <w:name w:val="样式 样式 标题 2 + 段前: 0.5 行 段后: 7.8 磅 + 段前: 0.5 行2"/>
    <w:basedOn w:val="79"/>
    <w:next w:val="1"/>
    <w:qFormat/>
    <w:uiPriority w:val="0"/>
    <w:pPr/>
  </w:style>
  <w:style w:type="paragraph" w:customStyle="1" w:styleId="155">
    <w:name w:val="font29"/>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156">
    <w:name w:val="Char Char Char Char Char Char"/>
    <w:basedOn w:val="1"/>
    <w:qFormat/>
    <w:uiPriority w:val="0"/>
    <w:pPr>
      <w:adjustRightInd/>
      <w:snapToGrid/>
      <w:spacing w:line="240" w:lineRule="auto"/>
    </w:pPr>
    <w:rPr>
      <w:rFonts w:eastAsia="宋体"/>
      <w:sz w:val="21"/>
      <w:szCs w:val="24"/>
    </w:rPr>
  </w:style>
  <w:style w:type="paragraph" w:customStyle="1" w:styleId="157">
    <w:name w:val="样式 样式 标题 2 + 段前: 0.5 行 段后: 7.8 磅 + 段前: 0.5 行3"/>
    <w:basedOn w:val="1"/>
    <w:next w:val="1"/>
    <w:qFormat/>
    <w:uiPriority w:val="0"/>
    <w:pPr>
      <w:spacing w:before="150" w:beforeLines="150" w:after="50" w:afterLines="50"/>
      <w:ind w:firstLine="200" w:firstLineChars="200"/>
      <w:textAlignment w:val="center"/>
    </w:pPr>
    <w:rPr>
      <w:rFonts w:eastAsia="宋体"/>
      <w:bCs/>
      <w:snapToGrid w:val="0"/>
      <w:spacing w:val="30"/>
      <w:kern w:val="0"/>
      <w:sz w:val="28"/>
    </w:rPr>
  </w:style>
  <w:style w:type="paragraph" w:customStyle="1" w:styleId="158">
    <w:name w:val="font25"/>
    <w:basedOn w:val="1"/>
    <w:qFormat/>
    <w:uiPriority w:val="0"/>
    <w:pPr>
      <w:widowControl/>
      <w:adjustRightInd/>
      <w:snapToGrid/>
      <w:spacing w:before="100" w:beforeAutospacing="1" w:after="100" w:afterAutospacing="1" w:line="240" w:lineRule="auto"/>
      <w:jc w:val="left"/>
    </w:pPr>
    <w:rPr>
      <w:rFonts w:eastAsia="宋体"/>
      <w:color w:val="000000"/>
      <w:kern w:val="0"/>
      <w:sz w:val="22"/>
      <w:szCs w:val="22"/>
    </w:rPr>
  </w:style>
  <w:style w:type="paragraph" w:customStyle="1" w:styleId="159">
    <w:name w:val="Char Char Char Char Char Char Char Char Char Char Char Char Char Char"/>
    <w:basedOn w:val="1"/>
    <w:qFormat/>
    <w:uiPriority w:val="0"/>
    <w:pPr>
      <w:adjustRightInd/>
      <w:snapToGrid/>
      <w:spacing w:line="240" w:lineRule="auto"/>
    </w:pPr>
    <w:rPr>
      <w:rFonts w:eastAsia="宋体"/>
      <w:sz w:val="21"/>
      <w:szCs w:val="24"/>
    </w:rPr>
  </w:style>
  <w:style w:type="paragraph" w:customStyle="1" w:styleId="160">
    <w:name w:val="xl39"/>
    <w:basedOn w:val="1"/>
    <w:qFormat/>
    <w:uiPriority w:val="0"/>
    <w:pPr>
      <w:widowControl/>
      <w:pBdr>
        <w:top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161">
    <w:name w:val="样式 样式 标题 2 + 段前: 0.5 行 段后: 7.8 磅 + 段前: 0.5 行4"/>
    <w:basedOn w:val="79"/>
    <w:qFormat/>
    <w:uiPriority w:val="0"/>
    <w:pPr/>
  </w:style>
  <w:style w:type="paragraph" w:customStyle="1" w:styleId="162">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63">
    <w:name w:val="font26"/>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164">
    <w:name w:val="xl33"/>
    <w:basedOn w:val="1"/>
    <w:qFormat/>
    <w:uiPriority w:val="0"/>
    <w:pPr>
      <w:widowControl/>
      <w:pBdr>
        <w:top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165">
    <w:name w:val="样式 样式 表格文字 + 两端对齐 + 居中"/>
    <w:basedOn w:val="142"/>
    <w:qFormat/>
    <w:uiPriority w:val="0"/>
  </w:style>
  <w:style w:type="paragraph" w:customStyle="1" w:styleId="166">
    <w:name w:val="xl7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67">
    <w:name w:val="font37"/>
    <w:basedOn w:val="1"/>
    <w:qFormat/>
    <w:uiPriority w:val="0"/>
    <w:pPr>
      <w:widowControl/>
      <w:adjustRightInd/>
      <w:snapToGrid/>
      <w:spacing w:before="100" w:beforeAutospacing="1" w:after="100" w:afterAutospacing="1" w:line="240" w:lineRule="auto"/>
      <w:jc w:val="left"/>
    </w:pPr>
    <w:rPr>
      <w:rFonts w:eastAsia="宋体"/>
      <w:color w:val="0000FF"/>
      <w:kern w:val="0"/>
      <w:sz w:val="22"/>
      <w:szCs w:val="22"/>
    </w:rPr>
  </w:style>
  <w:style w:type="paragraph" w:customStyle="1" w:styleId="168">
    <w:name w:val="font9"/>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69">
    <w:name w:val="font7"/>
    <w:basedOn w:val="1"/>
    <w:qFormat/>
    <w:uiPriority w:val="0"/>
    <w:pPr>
      <w:widowControl/>
      <w:adjustRightInd/>
      <w:snapToGrid/>
      <w:spacing w:before="100" w:beforeAutospacing="1" w:after="100" w:afterAutospacing="1" w:line="240" w:lineRule="auto"/>
      <w:jc w:val="left"/>
    </w:pPr>
    <w:rPr>
      <w:rFonts w:hint="eastAsia" w:ascii="宋体" w:hAnsi="宋体" w:eastAsia="宋体"/>
      <w:kern w:val="0"/>
      <w:szCs w:val="24"/>
    </w:rPr>
  </w:style>
  <w:style w:type="paragraph" w:customStyle="1" w:styleId="170">
    <w:name w:val="首行缩进:  2 字符 Char"/>
    <w:basedOn w:val="1"/>
    <w:qFormat/>
    <w:uiPriority w:val="0"/>
    <w:pPr>
      <w:ind w:firstLine="200" w:firstLineChars="200"/>
      <w:textAlignment w:val="center"/>
    </w:pPr>
    <w:rPr>
      <w:rFonts w:eastAsia="宋体" w:cs="宋体"/>
      <w:snapToGrid w:val="0"/>
      <w:spacing w:val="30"/>
      <w:kern w:val="0"/>
      <w:sz w:val="28"/>
      <w:szCs w:val="28"/>
    </w:rPr>
  </w:style>
  <w:style w:type="paragraph" w:customStyle="1" w:styleId="171">
    <w:name w:val="font40"/>
    <w:basedOn w:val="1"/>
    <w:qFormat/>
    <w:uiPriority w:val="0"/>
    <w:pPr>
      <w:widowControl/>
      <w:adjustRightInd/>
      <w:snapToGrid/>
      <w:spacing w:before="100" w:beforeAutospacing="1" w:after="100" w:afterAutospacing="1" w:line="240" w:lineRule="auto"/>
      <w:jc w:val="left"/>
    </w:pPr>
    <w:rPr>
      <w:rFonts w:eastAsia="宋体"/>
      <w:color w:val="000000"/>
      <w:kern w:val="0"/>
      <w:sz w:val="22"/>
      <w:szCs w:val="22"/>
    </w:rPr>
  </w:style>
  <w:style w:type="paragraph" w:customStyle="1" w:styleId="172">
    <w:name w:val="font16"/>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1"/>
      <w:szCs w:val="21"/>
    </w:rPr>
  </w:style>
  <w:style w:type="paragraph" w:customStyle="1" w:styleId="173">
    <w:name w:val="悬挂缩进"/>
    <w:basedOn w:val="1"/>
    <w:qFormat/>
    <w:uiPriority w:val="0"/>
    <w:pPr>
      <w:ind w:left="200" w:leftChars="200"/>
      <w:textAlignment w:val="baseline"/>
    </w:pPr>
    <w:rPr>
      <w:rFonts w:eastAsia="宋体"/>
      <w:snapToGrid w:val="0"/>
      <w:spacing w:val="30"/>
      <w:kern w:val="0"/>
      <w:sz w:val="28"/>
      <w:szCs w:val="28"/>
    </w:rPr>
  </w:style>
  <w:style w:type="paragraph" w:customStyle="1" w:styleId="174">
    <w:name w:val="xl15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color w:val="000000"/>
      <w:kern w:val="0"/>
      <w:szCs w:val="24"/>
    </w:rPr>
  </w:style>
  <w:style w:type="paragraph" w:customStyle="1" w:styleId="175">
    <w:name w:val="三级正文"/>
    <w:basedOn w:val="115"/>
    <w:qFormat/>
    <w:uiPriority w:val="0"/>
    <w:pPr>
      <w:autoSpaceDE w:val="0"/>
      <w:autoSpaceDN w:val="0"/>
      <w:snapToGrid/>
      <w:spacing w:line="300" w:lineRule="atLeast"/>
      <w:ind w:firstLine="567"/>
      <w:textAlignment w:val="auto"/>
    </w:pPr>
    <w:rPr>
      <w:rFonts w:hAnsi="Times New Roman" w:cs="Times New Roman"/>
      <w:bCs/>
      <w:snapToGrid/>
      <w:spacing w:val="0"/>
      <w:sz w:val="28"/>
      <w:szCs w:val="20"/>
    </w:rPr>
  </w:style>
  <w:style w:type="paragraph" w:customStyle="1" w:styleId="176">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177">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178">
    <w:name w:val="xl8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179">
    <w:name w:val="kerning2lochaf0hichaf0db"/>
    <w:qFormat/>
    <w:uiPriority w:val="0"/>
    <w:pPr>
      <w:widowControl w:val="0"/>
      <w:autoSpaceDE w:val="0"/>
      <w:autoSpaceDN w:val="0"/>
      <w:adjustRightInd w:val="0"/>
      <w:spacing w:line="360" w:lineRule="atLeast"/>
      <w:jc w:val="both"/>
      <w:textAlignment w:val="baseline"/>
    </w:pPr>
    <w:rPr>
      <w:rFonts w:ascii="Times New Roman" w:hAnsi="Times New Roman" w:eastAsia="宋体" w:cs="Times New Roman"/>
      <w:sz w:val="28"/>
      <w:lang w:val="en-US" w:eastAsia="zh-CN" w:bidi="ar-SA"/>
    </w:rPr>
  </w:style>
  <w:style w:type="paragraph" w:customStyle="1" w:styleId="180">
    <w:name w:val="font13"/>
    <w:basedOn w:val="1"/>
    <w:qFormat/>
    <w:uiPriority w:val="0"/>
    <w:pPr>
      <w:widowControl/>
      <w:adjustRightInd/>
      <w:snapToGrid/>
      <w:spacing w:before="100" w:beforeAutospacing="1" w:after="100" w:afterAutospacing="1" w:line="240" w:lineRule="auto"/>
      <w:jc w:val="left"/>
    </w:pPr>
    <w:rPr>
      <w:rFonts w:eastAsia="宋体"/>
      <w:kern w:val="0"/>
      <w:sz w:val="22"/>
      <w:szCs w:val="22"/>
    </w:rPr>
  </w:style>
  <w:style w:type="paragraph" w:customStyle="1" w:styleId="181">
    <w:name w:val="xl29"/>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182">
    <w:name w:val="xl10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183">
    <w:name w:val="xl8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84">
    <w:name w:val="xl35"/>
    <w:basedOn w:val="1"/>
    <w:semiHidden/>
    <w:qFormat/>
    <w:uiPriority w:val="0"/>
    <w:pPr>
      <w:widowControl/>
      <w:adjustRightInd/>
      <w:snapToGrid/>
      <w:spacing w:before="100" w:beforeAutospacing="1" w:after="100" w:afterAutospacing="1" w:line="240" w:lineRule="auto"/>
      <w:jc w:val="center"/>
      <w:textAlignment w:val="center"/>
    </w:pPr>
    <w:rPr>
      <w:rFonts w:ascii="Arial Unicode MS" w:hAnsi="Arial Unicode MS" w:eastAsia="Arial Unicode MS" w:cs="Arial Unicode MS"/>
      <w:b/>
      <w:bCs/>
      <w:kern w:val="0"/>
      <w:sz w:val="20"/>
      <w:u w:val="single"/>
    </w:rPr>
  </w:style>
  <w:style w:type="paragraph" w:customStyle="1" w:styleId="185">
    <w:name w:val="Normal"/>
    <w:basedOn w:val="1"/>
    <w:qFormat/>
    <w:uiPriority w:val="0"/>
    <w:pPr>
      <w:snapToGrid/>
      <w:spacing w:line="480" w:lineRule="exact"/>
      <w:textAlignment w:val="baseline"/>
    </w:pPr>
    <w:rPr>
      <w:rFonts w:eastAsia="宋体"/>
      <w:spacing w:val="-2"/>
      <w:kern w:val="0"/>
      <w:sz w:val="28"/>
    </w:rPr>
  </w:style>
  <w:style w:type="paragraph" w:customStyle="1" w:styleId="186">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87">
    <w:name w:val="font0"/>
    <w:basedOn w:val="1"/>
    <w:qFormat/>
    <w:uiPriority w:val="0"/>
    <w:pPr>
      <w:widowControl/>
      <w:adjustRightInd/>
      <w:snapToGrid/>
      <w:spacing w:before="100" w:beforeAutospacing="1" w:after="100" w:afterAutospacing="1" w:line="240" w:lineRule="auto"/>
      <w:jc w:val="left"/>
    </w:pPr>
    <w:rPr>
      <w:rFonts w:hint="eastAsia" w:ascii="宋体" w:hAnsi="宋体" w:eastAsia="宋体"/>
      <w:kern w:val="0"/>
      <w:szCs w:val="24"/>
    </w:rPr>
  </w:style>
  <w:style w:type="paragraph" w:customStyle="1" w:styleId="188">
    <w:name w:val="font41"/>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189">
    <w:name w:val="xl2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190">
    <w:name w:val="xl9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91">
    <w:name w:val="xl6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92">
    <w:name w:val="xl2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eastAsia="宋体"/>
      <w:kern w:val="0"/>
      <w:szCs w:val="24"/>
    </w:rPr>
  </w:style>
  <w:style w:type="paragraph" w:customStyle="1" w:styleId="193">
    <w:name w:val="font39"/>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194">
    <w:name w:val="font12"/>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195">
    <w:name w:val="xl31"/>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196">
    <w:name w:val="xl15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197">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98">
    <w:name w:val="font36"/>
    <w:basedOn w:val="1"/>
    <w:qFormat/>
    <w:uiPriority w:val="0"/>
    <w:pPr>
      <w:widowControl/>
      <w:adjustRightInd/>
      <w:snapToGrid/>
      <w:spacing w:before="100" w:beforeAutospacing="1" w:after="100" w:afterAutospacing="1" w:line="240" w:lineRule="auto"/>
      <w:jc w:val="left"/>
    </w:pPr>
    <w:rPr>
      <w:rFonts w:eastAsia="宋体"/>
      <w:color w:val="0000FF"/>
      <w:kern w:val="0"/>
      <w:sz w:val="22"/>
      <w:szCs w:val="22"/>
    </w:rPr>
  </w:style>
  <w:style w:type="paragraph" w:customStyle="1" w:styleId="199">
    <w:name w:val="xl40"/>
    <w:basedOn w:val="1"/>
    <w:qFormat/>
    <w:uiPriority w:val="0"/>
    <w:pPr>
      <w:widowControl/>
      <w:pBdr>
        <w:top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eastAsia="宋体"/>
      <w:kern w:val="0"/>
      <w:szCs w:val="24"/>
    </w:rPr>
  </w:style>
  <w:style w:type="paragraph" w:customStyle="1" w:styleId="200">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201">
    <w:name w:val="Char Char Char Char1"/>
    <w:basedOn w:val="1"/>
    <w:qFormat/>
    <w:uiPriority w:val="0"/>
    <w:pPr>
      <w:textAlignment w:val="baseline"/>
    </w:pPr>
    <w:rPr>
      <w:rFonts w:eastAsia="宋体"/>
      <w:snapToGrid w:val="0"/>
      <w:spacing w:val="30"/>
      <w:kern w:val="0"/>
      <w:sz w:val="28"/>
      <w:szCs w:val="28"/>
    </w:rPr>
  </w:style>
  <w:style w:type="paragraph" w:customStyle="1" w:styleId="202">
    <w:name w:val="xl42"/>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eastAsia="宋体"/>
      <w:kern w:val="0"/>
      <w:szCs w:val="24"/>
    </w:rPr>
  </w:style>
  <w:style w:type="paragraph" w:customStyle="1" w:styleId="203">
    <w:name w:val="xl15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204">
    <w:name w:val="font34"/>
    <w:basedOn w:val="1"/>
    <w:qFormat/>
    <w:uiPriority w:val="0"/>
    <w:pPr>
      <w:widowControl/>
      <w:adjustRightInd/>
      <w:snapToGrid/>
      <w:spacing w:before="100" w:beforeAutospacing="1" w:after="100" w:afterAutospacing="1" w:line="240" w:lineRule="auto"/>
      <w:jc w:val="left"/>
    </w:pPr>
    <w:rPr>
      <w:rFonts w:ascii="仿宋_GB2312" w:hAnsi="宋体" w:cs="宋体"/>
      <w:kern w:val="0"/>
      <w:sz w:val="22"/>
      <w:szCs w:val="22"/>
    </w:rPr>
  </w:style>
  <w:style w:type="paragraph" w:customStyle="1" w:styleId="205">
    <w:name w:val="Level 1"/>
    <w:basedOn w:val="1"/>
    <w:qFormat/>
    <w:uiPriority w:val="0"/>
    <w:pPr>
      <w:widowControl/>
      <w:suppressAutoHyphens/>
      <w:overflowPunct w:val="0"/>
      <w:autoSpaceDE w:val="0"/>
      <w:adjustRightInd/>
      <w:snapToGrid/>
      <w:spacing w:before="180" w:line="240" w:lineRule="auto"/>
      <w:ind w:left="964"/>
      <w:textAlignment w:val="baseline"/>
    </w:pPr>
    <w:rPr>
      <w:rFonts w:ascii="Arial" w:hAnsi="Arial" w:eastAsia="宋体"/>
      <w:kern w:val="0"/>
      <w:sz w:val="22"/>
      <w:lang w:val="en-GB"/>
    </w:rPr>
  </w:style>
  <w:style w:type="paragraph" w:customStyle="1" w:styleId="206">
    <w:name w:val="font18"/>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207">
    <w:name w:val="Bullet 1"/>
    <w:basedOn w:val="1"/>
    <w:qFormat/>
    <w:uiPriority w:val="0"/>
    <w:pPr>
      <w:widowControl/>
      <w:numPr>
        <w:ilvl w:val="0"/>
        <w:numId w:val="5"/>
      </w:numPr>
      <w:suppressAutoHyphens/>
      <w:overflowPunct w:val="0"/>
      <w:autoSpaceDE w:val="0"/>
      <w:adjustRightInd/>
      <w:snapToGrid/>
      <w:spacing w:before="180" w:line="240" w:lineRule="auto"/>
      <w:ind w:left="1324"/>
      <w:textAlignment w:val="baseline"/>
    </w:pPr>
    <w:rPr>
      <w:rFonts w:ascii="Arial" w:hAnsi="Arial" w:eastAsia="宋体"/>
      <w:kern w:val="0"/>
      <w:sz w:val="22"/>
      <w:lang w:val="en-GB"/>
    </w:rPr>
  </w:style>
  <w:style w:type="paragraph" w:customStyle="1" w:styleId="208">
    <w:name w:val="xl6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09">
    <w:name w:val=" Char1"/>
    <w:basedOn w:val="1"/>
    <w:qFormat/>
    <w:uiPriority w:val="0"/>
    <w:pPr>
      <w:autoSpaceDE w:val="0"/>
      <w:autoSpaceDN w:val="0"/>
      <w:spacing w:before="50" w:after="50"/>
      <w:ind w:firstLine="560" w:firstLineChars="200"/>
    </w:pPr>
    <w:rPr>
      <w:rFonts w:eastAsia="宋体"/>
      <w:sz w:val="21"/>
    </w:rPr>
  </w:style>
  <w:style w:type="paragraph" w:customStyle="1" w:styleId="210">
    <w:name w:val="3¡¢3"/>
    <w:basedOn w:val="1"/>
    <w:qFormat/>
    <w:uiPriority w:val="0"/>
    <w:pPr>
      <w:widowControl/>
      <w:overflowPunct w:val="0"/>
      <w:autoSpaceDE w:val="0"/>
      <w:autoSpaceDN w:val="0"/>
      <w:snapToGrid/>
      <w:ind w:left="180"/>
      <w:textAlignment w:val="baseline"/>
    </w:pPr>
    <w:rPr>
      <w:rFonts w:ascii="楷体" w:eastAsia="楷体"/>
      <w:kern w:val="0"/>
      <w:sz w:val="23"/>
      <w:szCs w:val="23"/>
    </w:rPr>
  </w:style>
  <w:style w:type="paragraph" w:customStyle="1" w:styleId="211">
    <w:name w:val="xl6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12">
    <w:name w:val="1 Char"/>
    <w:basedOn w:val="1"/>
    <w:qFormat/>
    <w:uiPriority w:val="0"/>
    <w:pPr>
      <w:adjustRightInd/>
      <w:snapToGrid/>
      <w:spacing w:line="240" w:lineRule="auto"/>
    </w:pPr>
    <w:rPr>
      <w:rFonts w:eastAsia="宋体"/>
      <w:sz w:val="21"/>
      <w:szCs w:val="24"/>
    </w:rPr>
  </w:style>
  <w:style w:type="paragraph" w:customStyle="1" w:styleId="213">
    <w:name w:val="font32"/>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214">
    <w:name w:val="Char Char Char Char Char Char1 Char"/>
    <w:basedOn w:val="1"/>
    <w:qFormat/>
    <w:uiPriority w:val="0"/>
    <w:pPr>
      <w:adjustRightInd/>
      <w:snapToGrid/>
      <w:spacing w:line="240" w:lineRule="auto"/>
    </w:pPr>
    <w:rPr>
      <w:rFonts w:eastAsia="宋体"/>
      <w:sz w:val="21"/>
      <w:szCs w:val="24"/>
    </w:rPr>
  </w:style>
  <w:style w:type="paragraph" w:customStyle="1" w:styleId="215">
    <w:name w:val="默认段落字体 Para Char Char Char Char Char Char Char"/>
    <w:basedOn w:val="1"/>
    <w:qFormat/>
    <w:uiPriority w:val="0"/>
    <w:pPr>
      <w:adjustRightInd/>
      <w:snapToGrid/>
      <w:spacing w:line="240" w:lineRule="auto"/>
    </w:pPr>
    <w:rPr>
      <w:rFonts w:ascii="Tahoma" w:hAnsi="Tahoma" w:eastAsia="宋体"/>
      <w:b/>
    </w:rPr>
  </w:style>
  <w:style w:type="paragraph" w:customStyle="1" w:styleId="216">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17">
    <w:name w:val="font31"/>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218">
    <w:name w:val="font8"/>
    <w:basedOn w:val="1"/>
    <w:qFormat/>
    <w:uiPriority w:val="0"/>
    <w:pPr>
      <w:widowControl/>
      <w:adjustRightInd/>
      <w:snapToGrid/>
      <w:spacing w:before="100" w:beforeAutospacing="1" w:after="100" w:afterAutospacing="1" w:line="240" w:lineRule="auto"/>
      <w:jc w:val="left"/>
    </w:pPr>
    <w:rPr>
      <w:rFonts w:eastAsia="宋体"/>
      <w:kern w:val="0"/>
      <w:szCs w:val="24"/>
    </w:rPr>
  </w:style>
  <w:style w:type="paragraph" w:customStyle="1" w:styleId="219">
    <w:name w:val="xl153"/>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color w:val="000000"/>
      <w:kern w:val="0"/>
      <w:szCs w:val="24"/>
    </w:rPr>
  </w:style>
  <w:style w:type="paragraph" w:customStyle="1" w:styleId="220">
    <w:name w:val="font10"/>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21">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222">
    <w:name w:val="font11"/>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18"/>
      <w:szCs w:val="18"/>
    </w:rPr>
  </w:style>
  <w:style w:type="paragraph" w:customStyle="1" w:styleId="223">
    <w:name w:val="xl10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224">
    <w:name w:val="xl8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225">
    <w:name w:val="font19"/>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226">
    <w:name w:val="font43"/>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227">
    <w:name w:val="xl9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228">
    <w:name w:val="xl6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kern w:val="0"/>
      <w:szCs w:val="24"/>
    </w:rPr>
  </w:style>
  <w:style w:type="paragraph" w:customStyle="1" w:styleId="229">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30">
    <w:name w:val="xl7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231">
    <w:name w:val="xl8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32">
    <w:name w:val="xl26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color w:val="000000"/>
      <w:kern w:val="0"/>
      <w:szCs w:val="24"/>
    </w:rPr>
  </w:style>
  <w:style w:type="paragraph" w:customStyle="1" w:styleId="233">
    <w:name w:val="xl10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34">
    <w:name w:val="xl22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35">
    <w:name w:val="xl19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36">
    <w:name w:val="xl14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237">
    <w:name w:val="xl10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38">
    <w:name w:val="xl16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eastAsia="宋体"/>
      <w:kern w:val="0"/>
      <w:szCs w:val="24"/>
    </w:rPr>
  </w:style>
  <w:style w:type="paragraph" w:customStyle="1" w:styleId="239">
    <w:name w:val="xl10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240">
    <w:name w:val="xl30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241">
    <w:name w:val="xl237"/>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42">
    <w:name w:val="xl148"/>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243">
    <w:name w:val="xl10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44">
    <w:name w:val="xl30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245">
    <w:name w:val="xl20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246">
    <w:name w:val="xl14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47">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248">
    <w:name w:val="xl19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249">
    <w:name w:val="xl17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250">
    <w:name w:val="xl108"/>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51">
    <w:name w:val="xl2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252">
    <w:name w:val="xl16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253">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54">
    <w:name w:val="xl29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255">
    <w:name w:val="xl20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 w:val="16"/>
      <w:szCs w:val="16"/>
    </w:rPr>
  </w:style>
  <w:style w:type="paragraph" w:customStyle="1" w:styleId="256">
    <w:name w:val="xl1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57">
    <w:name w:val="xl13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258">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eastAsia="宋体"/>
      <w:kern w:val="0"/>
      <w:szCs w:val="24"/>
    </w:rPr>
  </w:style>
  <w:style w:type="paragraph" w:customStyle="1" w:styleId="259">
    <w:name w:val="xl13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60">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261">
    <w:name w:val="xl27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62">
    <w:name w:val="xl236"/>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color w:val="000000"/>
      <w:kern w:val="0"/>
      <w:szCs w:val="24"/>
    </w:rPr>
  </w:style>
  <w:style w:type="paragraph" w:customStyle="1" w:styleId="263">
    <w:name w:val="xl11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264">
    <w:name w:val="xl292"/>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color w:val="FF0000"/>
      <w:kern w:val="0"/>
      <w:szCs w:val="24"/>
    </w:rPr>
  </w:style>
  <w:style w:type="paragraph" w:customStyle="1" w:styleId="265">
    <w:name w:val="xl27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66">
    <w:name w:val="xl23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 w:val="16"/>
      <w:szCs w:val="16"/>
    </w:rPr>
  </w:style>
  <w:style w:type="paragraph" w:customStyle="1" w:styleId="267">
    <w:name w:val="xl20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68">
    <w:name w:val="xl17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Arial Unicode MS" w:hAnsi="Arial Unicode MS" w:eastAsia="Arial Unicode MS" w:cs="Arial Unicode MS"/>
      <w:kern w:val="0"/>
      <w:szCs w:val="24"/>
    </w:rPr>
  </w:style>
  <w:style w:type="paragraph" w:customStyle="1" w:styleId="269">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kern w:val="0"/>
      <w:szCs w:val="24"/>
    </w:rPr>
  </w:style>
  <w:style w:type="paragraph" w:customStyle="1" w:styleId="270">
    <w:name w:val="xl3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271">
    <w:name w:val="xl1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72">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textAlignment w:val="bottom"/>
    </w:pPr>
    <w:rPr>
      <w:rFonts w:eastAsia="宋体"/>
      <w:kern w:val="0"/>
      <w:szCs w:val="24"/>
    </w:rPr>
  </w:style>
  <w:style w:type="paragraph" w:customStyle="1" w:styleId="273">
    <w:name w:val="xl2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74">
    <w:name w:val="xl21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75">
    <w:name w:val="xl1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76">
    <w:name w:val="xl14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77">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278">
    <w:name w:val="xl297"/>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279">
    <w:name w:val="xl26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FF0000"/>
      <w:kern w:val="0"/>
      <w:sz w:val="16"/>
      <w:szCs w:val="16"/>
    </w:rPr>
  </w:style>
  <w:style w:type="paragraph" w:customStyle="1" w:styleId="280">
    <w:name w:val="xl2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81">
    <w:name w:val="xl17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282">
    <w:name w:val="xl140"/>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283">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eastAsia="宋体"/>
      <w:kern w:val="0"/>
      <w:szCs w:val="24"/>
    </w:rPr>
  </w:style>
  <w:style w:type="paragraph" w:customStyle="1" w:styleId="284">
    <w:name w:val="xl29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285">
    <w:name w:val="xl26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286">
    <w:name w:val="xl2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87">
    <w:name w:val="xl1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eastAsia="宋体"/>
      <w:kern w:val="0"/>
      <w:szCs w:val="24"/>
    </w:rPr>
  </w:style>
  <w:style w:type="paragraph" w:customStyle="1" w:styleId="288">
    <w:name w:val="xl13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kern w:val="0"/>
      <w:szCs w:val="24"/>
    </w:rPr>
  </w:style>
  <w:style w:type="paragraph" w:customStyle="1" w:styleId="289">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eastAsia="宋体"/>
      <w:kern w:val="0"/>
      <w:szCs w:val="24"/>
    </w:rPr>
  </w:style>
  <w:style w:type="paragraph" w:customStyle="1" w:styleId="290">
    <w:name w:val="xl3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291">
    <w:name w:val="xl27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292">
    <w:name w:val="xl24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293">
    <w:name w:val="xl21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294">
    <w:name w:val="xl18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95">
    <w:name w:val="xl11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96">
    <w:name w:val="xl31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color w:val="000000"/>
      <w:kern w:val="0"/>
      <w:szCs w:val="24"/>
    </w:rPr>
  </w:style>
  <w:style w:type="paragraph" w:customStyle="1" w:styleId="297">
    <w:name w:val="xl28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 w:val="16"/>
      <w:szCs w:val="16"/>
    </w:rPr>
  </w:style>
  <w:style w:type="paragraph" w:customStyle="1" w:styleId="298">
    <w:name w:val="xl253"/>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kern w:val="0"/>
      <w:szCs w:val="24"/>
    </w:rPr>
  </w:style>
  <w:style w:type="paragraph" w:customStyle="1" w:styleId="299">
    <w:name w:val="xl22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300">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eastAsia="宋体"/>
      <w:kern w:val="0"/>
      <w:szCs w:val="24"/>
    </w:rPr>
  </w:style>
  <w:style w:type="paragraph" w:customStyle="1" w:styleId="301">
    <w:name w:val="xl31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302">
    <w:name w:val="xl28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303">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04">
    <w:name w:val="xl28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 w:val="16"/>
      <w:szCs w:val="16"/>
    </w:rPr>
  </w:style>
  <w:style w:type="paragraph" w:customStyle="1" w:styleId="305">
    <w:name w:val="xl25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06">
    <w:name w:val="xl22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 w:val="16"/>
      <w:szCs w:val="16"/>
    </w:rPr>
  </w:style>
  <w:style w:type="paragraph" w:customStyle="1" w:styleId="307">
    <w:name w:val="xl16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08">
    <w:name w:val="xl12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09">
    <w:name w:val="xl21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310">
    <w:name w:val="xl18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311">
    <w:name w:val="xl12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312">
    <w:name w:val="xl314"/>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313">
    <w:name w:val="xl27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color w:val="000000"/>
      <w:kern w:val="0"/>
      <w:szCs w:val="24"/>
    </w:rPr>
  </w:style>
  <w:style w:type="paragraph" w:customStyle="1" w:styleId="314">
    <w:name w:val="xl25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315">
    <w:name w:val="xl22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16">
    <w:name w:val="xl18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317">
    <w:name w:val="xl12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kern w:val="0"/>
      <w:szCs w:val="24"/>
    </w:rPr>
  </w:style>
  <w:style w:type="paragraph" w:customStyle="1" w:styleId="318">
    <w:name w:val="xl22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19">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320">
    <w:name w:val="xl28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21">
    <w:name w:val="xl22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22">
    <w:name w:val="xl16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color w:val="000000"/>
      <w:kern w:val="0"/>
      <w:szCs w:val="24"/>
    </w:rPr>
  </w:style>
  <w:style w:type="paragraph" w:customStyle="1" w:styleId="323">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24">
    <w:name w:val="xl28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325">
    <w:name w:val="xl246"/>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26">
    <w:name w:val="xl16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327">
    <w:name w:val="xl12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328">
    <w:name w:val="xl285"/>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color w:val="000000"/>
      <w:kern w:val="0"/>
      <w:szCs w:val="24"/>
    </w:rPr>
  </w:style>
  <w:style w:type="paragraph" w:customStyle="1" w:styleId="329">
    <w:name w:val="xl26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FF0000"/>
      <w:kern w:val="0"/>
      <w:szCs w:val="24"/>
    </w:rPr>
  </w:style>
  <w:style w:type="paragraph" w:customStyle="1" w:styleId="330">
    <w:name w:val="xl24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31">
    <w:name w:val="xl18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332">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33">
    <w:name w:val="xl128"/>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334">
    <w:name w:val="xl284"/>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35">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36">
    <w:name w:val="xl19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37">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338">
    <w:name w:val="xl27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 w:val="16"/>
      <w:szCs w:val="16"/>
    </w:rPr>
  </w:style>
  <w:style w:type="paragraph" w:customStyle="1" w:styleId="339">
    <w:name w:val="xl24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40">
    <w:name w:val="xl21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 w:val="16"/>
      <w:szCs w:val="16"/>
    </w:rPr>
  </w:style>
  <w:style w:type="paragraph" w:customStyle="1" w:styleId="341">
    <w:name w:val="xl19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42">
    <w:name w:val="xl131"/>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kern w:val="0"/>
      <w:szCs w:val="24"/>
    </w:rPr>
  </w:style>
  <w:style w:type="paragraph" w:customStyle="1" w:styleId="343">
    <w:name w:val="xl3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 w:val="16"/>
      <w:szCs w:val="16"/>
    </w:rPr>
  </w:style>
  <w:style w:type="paragraph" w:customStyle="1" w:styleId="344">
    <w:name w:val="xl24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color w:val="000000"/>
      <w:kern w:val="0"/>
      <w:szCs w:val="24"/>
    </w:rPr>
  </w:style>
  <w:style w:type="paragraph" w:customStyle="1" w:styleId="345">
    <w:name w:val="xl187"/>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346">
    <w:name w:val="xl13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b/>
      <w:bCs/>
      <w:kern w:val="0"/>
      <w:szCs w:val="24"/>
    </w:rPr>
  </w:style>
  <w:style w:type="paragraph" w:customStyle="1" w:styleId="347">
    <w:name w:val="_Style 430"/>
    <w:next w:val="1"/>
    <w:qFormat/>
    <w:uiPriority w:val="99"/>
    <w:pPr>
      <w:widowControl w:val="0"/>
      <w:adjustRightInd w:val="0"/>
      <w:snapToGrid w:val="0"/>
      <w:spacing w:line="360" w:lineRule="auto"/>
      <w:jc w:val="both"/>
    </w:pPr>
    <w:rPr>
      <w:rFonts w:ascii="Times New Roman" w:hAnsi="Times New Roman" w:eastAsia="仿宋_GB2312" w:cs="Times New Roman"/>
      <w:kern w:val="2"/>
      <w:sz w:val="24"/>
      <w:lang w:val="en-US" w:eastAsia="zh-CN" w:bidi="ar-SA"/>
    </w:rPr>
  </w:style>
  <w:style w:type="paragraph" w:customStyle="1" w:styleId="348">
    <w:name w:val="xl21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349">
    <w:name w:val="xl186"/>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350">
    <w:name w:val="xl13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b/>
      <w:bCs/>
      <w:kern w:val="0"/>
      <w:szCs w:val="24"/>
    </w:rPr>
  </w:style>
  <w:style w:type="paragraph" w:customStyle="1" w:styleId="351">
    <w:name w:val="xl28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color w:val="FF0000"/>
      <w:kern w:val="0"/>
      <w:szCs w:val="24"/>
    </w:rPr>
  </w:style>
  <w:style w:type="paragraph" w:customStyle="1" w:styleId="352">
    <w:name w:val="xl21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top"/>
    </w:pPr>
    <w:rPr>
      <w:rFonts w:ascii="宋体" w:hAnsi="宋体" w:eastAsia="宋体" w:cs="宋体"/>
      <w:color w:val="000000"/>
      <w:kern w:val="0"/>
      <w:szCs w:val="24"/>
    </w:rPr>
  </w:style>
  <w:style w:type="paragraph" w:customStyle="1" w:styleId="353">
    <w:name w:val="xl13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54">
    <w:name w:val="xl23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kern w:val="0"/>
      <w:sz w:val="16"/>
      <w:szCs w:val="16"/>
    </w:rPr>
  </w:style>
  <w:style w:type="paragraph" w:customStyle="1" w:styleId="355">
    <w:name w:val="xl17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356">
    <w:name w:val="xl13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FF0000"/>
      <w:kern w:val="0"/>
      <w:szCs w:val="24"/>
    </w:rPr>
  </w:style>
  <w:style w:type="paragraph" w:customStyle="1" w:styleId="357">
    <w:name w:val="xl27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58">
    <w:name w:val="xl238"/>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kern w:val="0"/>
      <w:sz w:val="16"/>
      <w:szCs w:val="16"/>
    </w:rPr>
  </w:style>
  <w:style w:type="paragraph" w:customStyle="1" w:styleId="359">
    <w:name w:val="xl20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60">
    <w:name w:val="xl17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61">
    <w:name w:val="xl13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62">
    <w:name w:val="xl29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363">
    <w:name w:val="xl24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 w:val="16"/>
      <w:szCs w:val="16"/>
    </w:rPr>
  </w:style>
  <w:style w:type="paragraph" w:customStyle="1" w:styleId="364">
    <w:name w:val="xl16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365">
    <w:name w:val="xl14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color w:val="000000"/>
      <w:kern w:val="0"/>
      <w:szCs w:val="24"/>
    </w:rPr>
  </w:style>
  <w:style w:type="paragraph" w:customStyle="1" w:styleId="366">
    <w:name w:val="xl29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367">
    <w:name w:val="xl235"/>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kern w:val="0"/>
      <w:szCs w:val="24"/>
    </w:rPr>
  </w:style>
  <w:style w:type="paragraph" w:customStyle="1" w:styleId="368">
    <w:name w:val="xl16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69">
    <w:name w:val="xl14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70">
    <w:name w:val="xl27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FF"/>
      <w:kern w:val="0"/>
      <w:szCs w:val="24"/>
    </w:rPr>
  </w:style>
  <w:style w:type="paragraph" w:customStyle="1" w:styleId="371">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72">
    <w:name w:val="xl24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373">
    <w:name w:val="xl14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74">
    <w:name w:val="xl29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375">
    <w:name w:val="xl26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FF"/>
      <w:kern w:val="0"/>
      <w:szCs w:val="24"/>
    </w:rPr>
  </w:style>
  <w:style w:type="paragraph" w:customStyle="1" w:styleId="376">
    <w:name w:val="xl20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377">
    <w:name w:val="xl14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378">
    <w:name w:val="xl30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379">
    <w:name w:val="xl26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80">
    <w:name w:val="xl23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81">
    <w:name w:val="xl15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382">
    <w:name w:val="xl22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383">
    <w:name w:val="xl19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b/>
      <w:bCs/>
      <w:kern w:val="0"/>
      <w:szCs w:val="24"/>
    </w:rPr>
  </w:style>
  <w:style w:type="paragraph" w:customStyle="1" w:styleId="384">
    <w:name w:val="xl156"/>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385">
    <w:name w:val="xl316"/>
    <w:basedOn w:val="1"/>
    <w:qFormat/>
    <w:uiPriority w:val="0"/>
    <w:pPr>
      <w:widowControl/>
      <w:pBdr>
        <w:left w:val="single" w:color="auto" w:sz="4" w:space="0"/>
        <w:bottom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386">
    <w:name w:val="xl25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387">
    <w:name w:val="xl18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388">
    <w:name w:val="xl15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389">
    <w:name w:val="xl2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 w:val="16"/>
      <w:szCs w:val="16"/>
    </w:rPr>
  </w:style>
  <w:style w:type="paragraph" w:customStyle="1" w:styleId="390">
    <w:name w:val="xl15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color w:val="000000"/>
      <w:kern w:val="0"/>
      <w:szCs w:val="24"/>
    </w:rPr>
  </w:style>
  <w:style w:type="paragraph" w:customStyle="1" w:styleId="391">
    <w:name w:val="xl24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392">
    <w:name w:val="xl21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color w:val="000000"/>
      <w:kern w:val="0"/>
      <w:sz w:val="16"/>
      <w:szCs w:val="16"/>
    </w:rPr>
  </w:style>
  <w:style w:type="paragraph" w:customStyle="1" w:styleId="393">
    <w:name w:val="xl15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94">
    <w:name w:val="xl3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95">
    <w:name w:val="xl25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96">
    <w:name w:val="xl2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color w:val="000000"/>
      <w:kern w:val="0"/>
      <w:sz w:val="16"/>
      <w:szCs w:val="16"/>
    </w:rPr>
  </w:style>
  <w:style w:type="paragraph" w:customStyle="1" w:styleId="397">
    <w:name w:val="xl16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color w:val="000000"/>
      <w:kern w:val="0"/>
      <w:szCs w:val="24"/>
    </w:rPr>
  </w:style>
  <w:style w:type="paragraph" w:customStyle="1" w:styleId="398">
    <w:name w:val="xl25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b/>
      <w:bCs/>
      <w:kern w:val="0"/>
      <w:szCs w:val="24"/>
    </w:rPr>
  </w:style>
  <w:style w:type="paragraph" w:customStyle="1" w:styleId="399">
    <w:name w:val="xl22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 w:val="16"/>
      <w:szCs w:val="16"/>
    </w:rPr>
  </w:style>
  <w:style w:type="paragraph" w:customStyle="1" w:styleId="400">
    <w:name w:val="xl19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401">
    <w:name w:val="xl16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eastAsia="宋体"/>
      <w:color w:val="000000"/>
      <w:kern w:val="0"/>
      <w:szCs w:val="24"/>
    </w:rPr>
  </w:style>
  <w:style w:type="paragraph" w:customStyle="1" w:styleId="402">
    <w:name w:val="xl31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 w:val="16"/>
      <w:szCs w:val="16"/>
    </w:rPr>
  </w:style>
  <w:style w:type="paragraph" w:customStyle="1" w:styleId="403">
    <w:name w:val="xl27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404">
    <w:name w:val="xl22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405">
    <w:name w:val="xl16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406">
    <w:name w:val="xl26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407">
    <w:name w:val="xl24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408">
    <w:name w:val="xl1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409">
    <w:name w:val="xl3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410">
    <w:name w:val="xl26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411">
    <w:name w:val="xl23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412">
    <w:name w:val="xl19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413">
    <w:name w:val="xl181"/>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414">
    <w:name w:val="xl25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415">
    <w:name w:val="xl18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416">
    <w:name w:val="xl25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kern w:val="0"/>
      <w:szCs w:val="24"/>
    </w:rPr>
  </w:style>
  <w:style w:type="paragraph" w:customStyle="1" w:styleId="417">
    <w:name w:val="xl18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418">
    <w:name w:val="xl19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color w:val="FF0000"/>
      <w:kern w:val="0"/>
      <w:szCs w:val="24"/>
    </w:rPr>
  </w:style>
  <w:style w:type="paragraph" w:customStyle="1" w:styleId="419">
    <w:name w:val="xl29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420">
    <w:name w:val="xl19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color w:val="FF0000"/>
      <w:kern w:val="0"/>
      <w:szCs w:val="24"/>
    </w:rPr>
  </w:style>
  <w:style w:type="paragraph" w:customStyle="1" w:styleId="421">
    <w:name w:val="xl313"/>
    <w:basedOn w:val="1"/>
    <w:qFormat/>
    <w:uiPriority w:val="0"/>
    <w:pPr>
      <w:widowControl/>
      <w:pBdr>
        <w:top w:val="single" w:color="auto" w:sz="4" w:space="0"/>
        <w:left w:val="single" w:color="auto" w:sz="4" w:space="0"/>
        <w:bottom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422">
    <w:name w:val="xl19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423">
    <w:name w:val="xl26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 w:val="16"/>
      <w:szCs w:val="16"/>
    </w:rPr>
  </w:style>
  <w:style w:type="paragraph" w:customStyle="1" w:styleId="424">
    <w:name w:val="xl23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425">
    <w:name w:val="xl20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426">
    <w:name w:val="xl20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427">
    <w:name w:val="xl2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eastAsia="宋体"/>
      <w:kern w:val="0"/>
      <w:sz w:val="16"/>
      <w:szCs w:val="16"/>
    </w:rPr>
  </w:style>
  <w:style w:type="paragraph" w:customStyle="1" w:styleId="428">
    <w:name w:val="xl20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 w:val="16"/>
      <w:szCs w:val="16"/>
    </w:rPr>
  </w:style>
  <w:style w:type="paragraph" w:customStyle="1" w:styleId="429">
    <w:name w:val="xl29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 w:val="16"/>
      <w:szCs w:val="16"/>
    </w:rPr>
  </w:style>
  <w:style w:type="paragraph" w:customStyle="1" w:styleId="430">
    <w:name w:val="xl21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431">
    <w:name w:val="xl311"/>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kern w:val="0"/>
      <w:szCs w:val="24"/>
    </w:rPr>
  </w:style>
  <w:style w:type="paragraph" w:customStyle="1" w:styleId="432">
    <w:name w:val="xl29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433">
    <w:name w:val="xl25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b/>
      <w:bCs/>
      <w:kern w:val="0"/>
      <w:sz w:val="16"/>
      <w:szCs w:val="16"/>
    </w:rPr>
  </w:style>
  <w:style w:type="paragraph" w:customStyle="1" w:styleId="434">
    <w:name w:val="xl2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435">
    <w:name w:val="xl27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436">
    <w:name w:val="xl25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FF0000"/>
      <w:kern w:val="0"/>
      <w:sz w:val="16"/>
      <w:szCs w:val="16"/>
    </w:rPr>
  </w:style>
  <w:style w:type="paragraph" w:customStyle="1" w:styleId="437">
    <w:name w:val="xl22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 w:val="16"/>
      <w:szCs w:val="16"/>
    </w:rPr>
  </w:style>
  <w:style w:type="paragraph" w:customStyle="1" w:styleId="438">
    <w:name w:val="xl30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 w:val="16"/>
      <w:szCs w:val="16"/>
    </w:rPr>
  </w:style>
  <w:style w:type="paragraph" w:customStyle="1" w:styleId="439">
    <w:name w:val="xl264"/>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kern w:val="0"/>
      <w:szCs w:val="24"/>
    </w:rPr>
  </w:style>
  <w:style w:type="paragraph" w:customStyle="1" w:styleId="440">
    <w:name w:val="xl28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441">
    <w:name w:val="xl3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color w:val="FF0000"/>
      <w:kern w:val="0"/>
      <w:szCs w:val="24"/>
    </w:rPr>
  </w:style>
  <w:style w:type="character" w:customStyle="1" w:styleId="442">
    <w:name w:val="标题 1 Char"/>
    <w:link w:val="2"/>
    <w:qFormat/>
    <w:uiPriority w:val="0"/>
    <w:rPr>
      <w:rFonts w:eastAsia="华文行楷"/>
      <w:snapToGrid w:val="0"/>
      <w:spacing w:val="10"/>
      <w:kern w:val="2"/>
      <w:sz w:val="32"/>
    </w:rPr>
  </w:style>
  <w:style w:type="character" w:customStyle="1" w:styleId="443">
    <w:name w:val="MB2 Char1"/>
    <w:link w:val="3"/>
    <w:qFormat/>
    <w:uiPriority w:val="0"/>
    <w:rPr>
      <w:rFonts w:ascii="Arial" w:hAnsi="Arial" w:eastAsia="华文细黑"/>
      <w:b/>
      <w:bCs/>
      <w:snapToGrid w:val="0"/>
      <w:spacing w:val="10"/>
      <w:kern w:val="28"/>
      <w:sz w:val="24"/>
    </w:rPr>
  </w:style>
  <w:style w:type="character" w:customStyle="1" w:styleId="444">
    <w:name w:val="MB3 Char1"/>
    <w:link w:val="5"/>
    <w:qFormat/>
    <w:uiPriority w:val="0"/>
    <w:rPr>
      <w:rFonts w:eastAsia="仿宋_GB2312"/>
      <w:spacing w:val="30"/>
      <w:kern w:val="2"/>
      <w:sz w:val="24"/>
    </w:rPr>
  </w:style>
  <w:style w:type="character" w:customStyle="1" w:styleId="445">
    <w:name w:val="标题 4 Char"/>
    <w:link w:val="6"/>
    <w:qFormat/>
    <w:uiPriority w:val="0"/>
    <w:rPr>
      <w:rFonts w:ascii="Arial" w:hAnsi="Arial" w:eastAsia="黑体"/>
      <w:b/>
      <w:spacing w:val="20"/>
      <w:kern w:val="2"/>
      <w:sz w:val="24"/>
    </w:rPr>
  </w:style>
  <w:style w:type="character" w:customStyle="1" w:styleId="446">
    <w:name w:val="标题 5 Char"/>
    <w:link w:val="7"/>
    <w:qFormat/>
    <w:uiPriority w:val="0"/>
    <w:rPr>
      <w:position w:val="-6"/>
      <w:sz w:val="24"/>
      <w:lang w:val="en-GB"/>
    </w:rPr>
  </w:style>
  <w:style w:type="character" w:customStyle="1" w:styleId="447">
    <w:name w:val="标题 6 Char"/>
    <w:link w:val="8"/>
    <w:qFormat/>
    <w:uiPriority w:val="0"/>
    <w:rPr>
      <w:rFonts w:ascii="Helvetica" w:hAnsi="Helvetica" w:eastAsia="楷体_GB2312"/>
      <w:b/>
      <w:i/>
      <w:position w:val="-6"/>
      <w:sz w:val="22"/>
      <w:lang w:val="en-GB"/>
    </w:rPr>
  </w:style>
  <w:style w:type="character" w:customStyle="1" w:styleId="448">
    <w:name w:val="标题 7 Char"/>
    <w:link w:val="9"/>
    <w:qFormat/>
    <w:uiPriority w:val="0"/>
    <w:rPr>
      <w:rFonts w:eastAsia="楷体_GB2312"/>
      <w:i/>
      <w:position w:val="-6"/>
      <w:sz w:val="22"/>
      <w:lang w:val="en-GB"/>
    </w:rPr>
  </w:style>
  <w:style w:type="character" w:customStyle="1" w:styleId="449">
    <w:name w:val="标题 8 Char"/>
    <w:link w:val="10"/>
    <w:qFormat/>
    <w:uiPriority w:val="0"/>
    <w:rPr>
      <w:rFonts w:eastAsia="楷体_GB2312"/>
      <w:i/>
      <w:position w:val="-6"/>
      <w:sz w:val="22"/>
      <w:lang w:val="en-GB"/>
    </w:rPr>
  </w:style>
  <w:style w:type="character" w:customStyle="1" w:styleId="450">
    <w:name w:val="标题 9 Char"/>
    <w:link w:val="11"/>
    <w:qFormat/>
    <w:uiPriority w:val="0"/>
    <w:rPr>
      <w:rFonts w:eastAsia="楷体_GB2312"/>
      <w:i/>
      <w:position w:val="-6"/>
      <w:sz w:val="22"/>
      <w:lang w:val="en-GB"/>
    </w:rPr>
  </w:style>
  <w:style w:type="character" w:customStyle="1" w:styleId="451">
    <w:name w:val="文档结构图 Char"/>
    <w:link w:val="15"/>
    <w:semiHidden/>
    <w:qFormat/>
    <w:uiPriority w:val="0"/>
    <w:rPr>
      <w:rFonts w:eastAsia="仿宋_GB2312"/>
      <w:kern w:val="2"/>
      <w:sz w:val="24"/>
      <w:shd w:val="clear" w:color="auto" w:fill="000080"/>
    </w:rPr>
  </w:style>
  <w:style w:type="character" w:customStyle="1" w:styleId="452">
    <w:name w:val="批注文字 Char"/>
    <w:link w:val="17"/>
    <w:qFormat/>
    <w:uiPriority w:val="0"/>
    <w:rPr>
      <w:snapToGrid w:val="0"/>
      <w:spacing w:val="30"/>
      <w:sz w:val="28"/>
      <w:szCs w:val="28"/>
    </w:rPr>
  </w:style>
  <w:style w:type="character" w:customStyle="1" w:styleId="453">
    <w:name w:val="正文文本 3 Char"/>
    <w:link w:val="18"/>
    <w:qFormat/>
    <w:uiPriority w:val="0"/>
    <w:rPr>
      <w:rFonts w:ascii="Arial" w:hAnsi="Arial"/>
      <w:snapToGrid w:val="0"/>
      <w:spacing w:val="16"/>
      <w:kern w:val="18"/>
      <w:sz w:val="16"/>
      <w:szCs w:val="16"/>
    </w:rPr>
  </w:style>
  <w:style w:type="character" w:customStyle="1" w:styleId="454">
    <w:name w:val="正文文本 Char"/>
    <w:link w:val="19"/>
    <w:qFormat/>
    <w:uiPriority w:val="0"/>
    <w:rPr>
      <w:rFonts w:eastAsia="仿宋_GB2312"/>
      <w:kern w:val="2"/>
      <w:sz w:val="24"/>
    </w:rPr>
  </w:style>
  <w:style w:type="character" w:customStyle="1" w:styleId="455">
    <w:name w:val="正文文本缩进 Char1"/>
    <w:link w:val="20"/>
    <w:qFormat/>
    <w:uiPriority w:val="0"/>
    <w:rPr>
      <w:rFonts w:eastAsia="仿宋_GB2312"/>
      <w:kern w:val="2"/>
      <w:sz w:val="24"/>
    </w:rPr>
  </w:style>
  <w:style w:type="character" w:customStyle="1" w:styleId="456">
    <w:name w:val="纯文本 Char"/>
    <w:link w:val="26"/>
    <w:qFormat/>
    <w:uiPriority w:val="0"/>
    <w:rPr>
      <w:rFonts w:ascii="宋体" w:hAnsi="Courier New" w:cs="隶书"/>
      <w:snapToGrid w:val="0"/>
      <w:spacing w:val="30"/>
      <w:sz w:val="21"/>
      <w:szCs w:val="21"/>
    </w:rPr>
  </w:style>
  <w:style w:type="character" w:customStyle="1" w:styleId="457">
    <w:name w:val="日期 Char"/>
    <w:link w:val="28"/>
    <w:qFormat/>
    <w:uiPriority w:val="0"/>
    <w:rPr>
      <w:rFonts w:eastAsia="仿宋_GB2312"/>
      <w:spacing w:val="24"/>
      <w:kern w:val="2"/>
      <w:sz w:val="24"/>
    </w:rPr>
  </w:style>
  <w:style w:type="character" w:customStyle="1" w:styleId="458">
    <w:name w:val="正文文本缩进 2 Char"/>
    <w:link w:val="29"/>
    <w:qFormat/>
    <w:uiPriority w:val="0"/>
    <w:rPr>
      <w:rFonts w:eastAsia="仿宋_GB2312"/>
      <w:color w:val="FF0000"/>
      <w:kern w:val="2"/>
      <w:sz w:val="24"/>
    </w:rPr>
  </w:style>
  <w:style w:type="character" w:customStyle="1" w:styleId="459">
    <w:name w:val="批注框文本 Char"/>
    <w:link w:val="30"/>
    <w:qFormat/>
    <w:uiPriority w:val="0"/>
    <w:rPr>
      <w:rFonts w:eastAsia="仿宋_GB2312"/>
      <w:kern w:val="2"/>
      <w:sz w:val="18"/>
      <w:szCs w:val="18"/>
    </w:rPr>
  </w:style>
  <w:style w:type="character" w:customStyle="1" w:styleId="460">
    <w:name w:val="页脚 Char"/>
    <w:link w:val="31"/>
    <w:qFormat/>
    <w:uiPriority w:val="99"/>
    <w:rPr>
      <w:rFonts w:eastAsia="仿宋_GB2312"/>
      <w:kern w:val="2"/>
      <w:sz w:val="18"/>
    </w:rPr>
  </w:style>
  <w:style w:type="character" w:customStyle="1" w:styleId="461">
    <w:name w:val="页眉 Char"/>
    <w:link w:val="32"/>
    <w:qFormat/>
    <w:uiPriority w:val="0"/>
    <w:rPr>
      <w:rFonts w:eastAsia="仿宋_GB2312"/>
      <w:kern w:val="2"/>
      <w:sz w:val="18"/>
      <w:szCs w:val="18"/>
    </w:rPr>
  </w:style>
  <w:style w:type="character" w:customStyle="1" w:styleId="462">
    <w:name w:val="脚注文本 Char"/>
    <w:link w:val="37"/>
    <w:qFormat/>
    <w:uiPriority w:val="0"/>
    <w:rPr>
      <w:sz w:val="18"/>
    </w:rPr>
  </w:style>
  <w:style w:type="character" w:customStyle="1" w:styleId="463">
    <w:name w:val="正文文本缩进 3 Char"/>
    <w:link w:val="40"/>
    <w:qFormat/>
    <w:uiPriority w:val="0"/>
    <w:rPr>
      <w:bCs/>
      <w:spacing w:val="30"/>
      <w:kern w:val="2"/>
      <w:sz w:val="28"/>
      <w:szCs w:val="28"/>
    </w:rPr>
  </w:style>
  <w:style w:type="character" w:customStyle="1" w:styleId="464">
    <w:name w:val="正文文本 2 Char"/>
    <w:link w:val="43"/>
    <w:qFormat/>
    <w:uiPriority w:val="0"/>
    <w:rPr>
      <w:rFonts w:eastAsia="仿宋_GB2312"/>
      <w:spacing w:val="30"/>
      <w:kern w:val="2"/>
      <w:sz w:val="24"/>
    </w:rPr>
  </w:style>
  <w:style w:type="character" w:customStyle="1" w:styleId="465">
    <w:name w:val="HTML 预设格式 Char"/>
    <w:link w:val="46"/>
    <w:qFormat/>
    <w:uiPriority w:val="0"/>
    <w:rPr>
      <w:rFonts w:ascii="Courier New" w:hAnsi="Courier New" w:cs="Courier New"/>
      <w:snapToGrid w:val="0"/>
      <w:spacing w:val="16"/>
      <w:kern w:val="18"/>
    </w:rPr>
  </w:style>
  <w:style w:type="character" w:customStyle="1" w:styleId="466">
    <w:name w:val="标题 Char"/>
    <w:link w:val="49"/>
    <w:qFormat/>
    <w:uiPriority w:val="0"/>
    <w:rPr>
      <w:rFonts w:ascii="Arial" w:hAnsi="Arial" w:eastAsia="仿宋_GB2312"/>
      <w:b/>
      <w:kern w:val="2"/>
      <w:sz w:val="44"/>
    </w:rPr>
  </w:style>
  <w:style w:type="character" w:customStyle="1" w:styleId="467">
    <w:name w:val="正文首行缩进 Char"/>
    <w:link w:val="50"/>
    <w:qFormat/>
    <w:uiPriority w:val="0"/>
    <w:rPr>
      <w:rFonts w:eastAsia="仿宋_GB2312"/>
      <w:snapToGrid w:val="0"/>
      <w:kern w:val="24"/>
      <w:sz w:val="24"/>
    </w:rPr>
  </w:style>
  <w:style w:type="character" w:customStyle="1" w:styleId="468">
    <w:name w:val="批注主题 Char"/>
    <w:link w:val="51"/>
    <w:qFormat/>
    <w:uiPriority w:val="0"/>
    <w:rPr>
      <w:b/>
      <w:bCs/>
      <w:snapToGrid w:val="0"/>
      <w:spacing w:val="30"/>
      <w:sz w:val="28"/>
      <w:szCs w:val="28"/>
    </w:rPr>
  </w:style>
  <w:style w:type="character" w:customStyle="1" w:styleId="469">
    <w:name w:val="正文首行缩进 2 Char"/>
    <w:link w:val="52"/>
    <w:qFormat/>
    <w:uiPriority w:val="0"/>
    <w:rPr>
      <w:rFonts w:ascii="仿宋_GB2312" w:hAnsi="Courier New" w:eastAsia="仿宋_GB2312"/>
      <w:kern w:val="2"/>
      <w:sz w:val="30"/>
      <w:szCs w:val="30"/>
    </w:rPr>
  </w:style>
  <w:style w:type="character" w:customStyle="1" w:styleId="470">
    <w:name w:val="red1"/>
    <w:qFormat/>
    <w:uiPriority w:val="0"/>
    <w:rPr>
      <w:color w:val="FF3300"/>
    </w:rPr>
  </w:style>
  <w:style w:type="character" w:customStyle="1" w:styleId="471">
    <w:name w:val="首行缩进:  2 字符 Char Char"/>
    <w:qFormat/>
    <w:uiPriority w:val="0"/>
    <w:rPr>
      <w:rFonts w:eastAsia="宋体" w:cs="宋体"/>
      <w:snapToGrid w:val="0"/>
      <w:spacing w:val="30"/>
      <w:sz w:val="28"/>
      <w:szCs w:val="28"/>
      <w:lang w:val="en-US" w:eastAsia="zh-CN" w:bidi="ar-SA"/>
    </w:rPr>
  </w:style>
  <w:style w:type="character" w:customStyle="1" w:styleId="472">
    <w:name w:val="MB1 Char Char"/>
    <w:qFormat/>
    <w:uiPriority w:val="0"/>
    <w:rPr>
      <w:rFonts w:eastAsia="宋体"/>
      <w:b/>
      <w:bCs/>
      <w:snapToGrid w:val="0"/>
      <w:spacing w:val="30"/>
      <w:sz w:val="44"/>
      <w:szCs w:val="44"/>
      <w:lang w:val="en-US" w:eastAsia="zh-CN" w:bidi="ar-SA"/>
    </w:rPr>
  </w:style>
  <w:style w:type="character" w:customStyle="1" w:styleId="473">
    <w:name w:val="正文文本缩进 Char"/>
    <w:qFormat/>
    <w:uiPriority w:val="0"/>
    <w:rPr>
      <w:rFonts w:ascii="Times New Roman" w:hAnsi="Times New Roman" w:eastAsia="宋体" w:cs="Times New Roman"/>
      <w:szCs w:val="20"/>
    </w:rPr>
  </w:style>
  <w:style w:type="character" w:customStyle="1" w:styleId="474">
    <w:name w:val="hui1"/>
    <w:qFormat/>
    <w:uiPriority w:val="0"/>
    <w:rPr>
      <w:rFonts w:hint="default" w:ascii="Arial" w:hAnsi="Arial" w:cs="Arial"/>
      <w:color w:val="666666"/>
      <w:sz w:val="24"/>
      <w:szCs w:val="24"/>
      <w:u w:val="none"/>
    </w:rPr>
  </w:style>
  <w:style w:type="character" w:customStyle="1" w:styleId="475">
    <w:name w:val="三级标题 Char"/>
    <w:qFormat/>
    <w:uiPriority w:val="0"/>
    <w:rPr>
      <w:rFonts w:ascii="宋体" w:hAnsi="Courier New" w:eastAsia="宋体" w:cs="隶书"/>
      <w:b/>
      <w:bCs/>
      <w:snapToGrid w:val="0"/>
      <w:spacing w:val="30"/>
      <w:kern w:val="28"/>
      <w:sz w:val="28"/>
      <w:szCs w:val="21"/>
      <w:lang w:val="en-US" w:eastAsia="zh-CN" w:bidi="ar-SA"/>
    </w:rPr>
  </w:style>
  <w:style w:type="character" w:customStyle="1" w:styleId="476">
    <w:name w:val="gray1"/>
    <w:qFormat/>
    <w:uiPriority w:val="0"/>
    <w:rPr>
      <w:color w:val="666666"/>
    </w:rPr>
  </w:style>
  <w:style w:type="character" w:customStyle="1" w:styleId="477">
    <w:name w:val="标题 3 Char Char Char"/>
    <w:qFormat/>
    <w:uiPriority w:val="0"/>
    <w:rPr>
      <w:rFonts w:eastAsia="宋体"/>
      <w:bCs/>
      <w:snapToGrid w:val="0"/>
      <w:spacing w:val="30"/>
      <w:sz w:val="30"/>
      <w:szCs w:val="30"/>
      <w:lang w:val="en-US" w:eastAsia="zh-CN" w:bidi="ar-SA"/>
    </w:rPr>
  </w:style>
  <w:style w:type="character" w:customStyle="1" w:styleId="478">
    <w:name w:val="正文格式 Char"/>
    <w:link w:val="63"/>
    <w:qFormat/>
    <w:uiPriority w:val="0"/>
    <w:rPr>
      <w:rFonts w:eastAsia="宋体"/>
      <w:snapToGrid w:val="0"/>
      <w:sz w:val="24"/>
      <w:szCs w:val="24"/>
    </w:rPr>
  </w:style>
  <w:style w:type="character" w:customStyle="1" w:styleId="479">
    <w:name w:val="表中文字 Char"/>
    <w:qFormat/>
    <w:uiPriority w:val="0"/>
    <w:rPr>
      <w:rFonts w:ascii="宋体" w:hAnsi="Courier New" w:eastAsia="宋体"/>
      <w:kern w:val="2"/>
      <w:sz w:val="21"/>
      <w:lang w:val="en-US" w:eastAsia="zh-CN" w:bidi="ar-SA"/>
    </w:rPr>
  </w:style>
  <w:style w:type="character" w:customStyle="1" w:styleId="480">
    <w:name w:val="_Style 479"/>
    <w:unhideWhenUsed/>
    <w:qFormat/>
    <w:uiPriority w:val="99"/>
    <w:rPr>
      <w:color w:val="605E5C"/>
      <w:shd w:val="clear" w:color="auto" w:fill="E1DFDD"/>
    </w:rPr>
  </w:style>
  <w:style w:type="character" w:customStyle="1" w:styleId="481">
    <w:name w:val="Default Char"/>
    <w:link w:val="64"/>
    <w:qFormat/>
    <w:uiPriority w:val="0"/>
    <w:rPr>
      <w:rFonts w:ascii="黑体" w:eastAsia="黑体"/>
      <w:lang w:val="en-US" w:eastAsia="zh-CN" w:bidi="ar-SA"/>
    </w:rPr>
  </w:style>
  <w:style w:type="character" w:customStyle="1" w:styleId="482">
    <w:name w:val="Char Char2"/>
    <w:qFormat/>
    <w:locked/>
    <w:uiPriority w:val="0"/>
    <w:rPr>
      <w:rFonts w:ascii="宋体" w:hAnsi="宋体" w:eastAsia="宋体"/>
      <w:kern w:val="2"/>
      <w:sz w:val="21"/>
      <w:lang w:val="en-US" w:eastAsia="zh-CN" w:bidi="ar-SA"/>
    </w:rPr>
  </w:style>
  <w:style w:type="character" w:customStyle="1" w:styleId="483">
    <w:name w:val="MB2 Char"/>
    <w:qFormat/>
    <w:uiPriority w:val="0"/>
    <w:rPr>
      <w:rFonts w:ascii="Arial" w:hAnsi="Arial" w:eastAsia="黑体"/>
      <w:b/>
      <w:bCs/>
      <w:kern w:val="2"/>
      <w:sz w:val="32"/>
      <w:szCs w:val="32"/>
      <w:lang w:val="en-US" w:eastAsia="zh-CN" w:bidi="ar-SA"/>
    </w:rPr>
  </w:style>
  <w:style w:type="character" w:customStyle="1" w:styleId="484">
    <w:name w:val="MB3 Char"/>
    <w:qFormat/>
    <w:uiPriority w:val="0"/>
    <w:rPr>
      <w:rFonts w:eastAsia="宋体"/>
      <w:b/>
      <w:bCs/>
      <w:kern w:val="2"/>
      <w:sz w:val="32"/>
      <w:szCs w:val="32"/>
      <w:lang w:val="en-US" w:eastAsia="zh-CN" w:bidi="ar-SA"/>
    </w:rPr>
  </w:style>
  <w:style w:type="character" w:customStyle="1" w:styleId="485">
    <w:name w:val="fontstyle01"/>
    <w:qFormat/>
    <w:uiPriority w:val="0"/>
    <w:rPr>
      <w:rFonts w:hint="eastAsia" w:ascii="宋体" w:hAnsi="宋体" w:eastAsia="宋体"/>
      <w:color w:val="000000"/>
      <w:sz w:val="22"/>
      <w:szCs w:val="22"/>
    </w:rPr>
  </w:style>
  <w:style w:type="character" w:customStyle="1" w:styleId="486">
    <w:name w:val="样式 首行缩进:  2 字符 Char"/>
    <w:qFormat/>
    <w:uiPriority w:val="0"/>
    <w:rPr>
      <w:rFonts w:eastAsia="宋体" w:cs="宋体"/>
      <w:snapToGrid w:val="0"/>
      <w:spacing w:val="30"/>
      <w:sz w:val="28"/>
      <w:lang w:val="en-US" w:eastAsia="zh-CN" w:bidi="ar-SA"/>
    </w:rPr>
  </w:style>
  <w:style w:type="character" w:customStyle="1" w:styleId="487">
    <w:name w:val="fontstyle21"/>
    <w:qFormat/>
    <w:uiPriority w:val="0"/>
    <w:rPr>
      <w:rFonts w:hint="default" w:ascii="TimesNewRomanPSMT" w:hAnsi="TimesNewRomanPSMT"/>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合肥水泥研究设计院</Company>
  <Pages>14</Pages>
  <Words>6921</Words>
  <Characters>7813</Characters>
  <Lines>85</Lines>
  <Paragraphs>23</Paragraphs>
  <TotalTime>0</TotalTime>
  <ScaleCrop>false</ScaleCrop>
  <LinksUpToDate>false</LinksUpToDate>
  <CharactersWithSpaces>8403</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2006-04-13T11:00:00Z</dcterms:created>
  <dc:creator>xurui</dc:creator>
  <cp:lastModifiedBy>敏儿</cp:lastModifiedBy>
  <cp:lastPrinted>2018-12-07T11:05:00Z</cp:lastPrinted>
  <dcterms:modified xsi:type="dcterms:W3CDTF">2022-08-19T11:48:01Z</dcterms:modified>
  <dc:subject>招标技术文件</dc:subject>
  <dc:title>水泥磨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AF255E27C9624451A343F9FBFB301CBA</vt:lpwstr>
  </property>
</Properties>
</file>